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633C6" w14:textId="77777777" w:rsidR="00E203C2" w:rsidRDefault="00E203C2" w:rsidP="00424BD1">
      <w:pPr>
        <w:widowControl/>
        <w:spacing w:before="120" w:after="120"/>
      </w:pPr>
      <w:bookmarkStart w:id="0" w:name="_GoBack"/>
      <w:bookmarkEnd w:id="0"/>
      <w:r>
        <w:rPr>
          <w:noProof/>
          <w:lang w:eastAsia="en-GB" w:bidi="ar-SA"/>
        </w:rPr>
        <w:drawing>
          <wp:inline distT="0" distB="0" distL="0" distR="0" wp14:anchorId="195636FE" wp14:editId="195636FF">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95633C7" w14:textId="77777777" w:rsidR="00E203C2" w:rsidRPr="00B229A4" w:rsidRDefault="00E203C2" w:rsidP="00424BD1">
      <w:pPr>
        <w:widowControl/>
        <w:spacing w:before="120" w:after="120"/>
      </w:pPr>
    </w:p>
    <w:p w14:paraId="15D37211" w14:textId="39F9E2F7" w:rsidR="006622B1" w:rsidRPr="00B229A4" w:rsidRDefault="00B229A4" w:rsidP="00424BD1">
      <w:pPr>
        <w:widowControl/>
        <w:spacing w:before="120" w:after="120"/>
        <w:rPr>
          <w:b/>
          <w:sz w:val="28"/>
          <w:szCs w:val="28"/>
        </w:rPr>
      </w:pPr>
      <w:r w:rsidRPr="00B229A4">
        <w:rPr>
          <w:b/>
          <w:sz w:val="28"/>
          <w:szCs w:val="28"/>
        </w:rPr>
        <w:t>28 May 2021</w:t>
      </w:r>
    </w:p>
    <w:p w14:paraId="6BCBA6BA" w14:textId="474D11C5" w:rsidR="006622B1" w:rsidRPr="00B229A4" w:rsidRDefault="00B229A4" w:rsidP="00424BD1">
      <w:pPr>
        <w:widowControl/>
        <w:spacing w:before="120" w:after="120"/>
        <w:rPr>
          <w:b/>
          <w:sz w:val="28"/>
          <w:szCs w:val="28"/>
        </w:rPr>
      </w:pPr>
      <w:r w:rsidRPr="00B229A4">
        <w:rPr>
          <w:b/>
          <w:sz w:val="28"/>
          <w:szCs w:val="28"/>
        </w:rPr>
        <w:t>157-21</w:t>
      </w:r>
    </w:p>
    <w:p w14:paraId="7EC82261" w14:textId="77777777" w:rsidR="006622B1" w:rsidRDefault="006622B1" w:rsidP="00424BD1">
      <w:pPr>
        <w:widowControl/>
        <w:spacing w:before="120" w:after="120"/>
      </w:pPr>
    </w:p>
    <w:p w14:paraId="5EDBEA55" w14:textId="1019EEB1" w:rsidR="006622B1" w:rsidRPr="007D0C26" w:rsidRDefault="002E484B" w:rsidP="00424BD1">
      <w:pPr>
        <w:pStyle w:val="FSTitle"/>
        <w:widowControl/>
        <w:spacing w:before="120" w:after="120"/>
        <w:rPr>
          <w:b/>
        </w:rPr>
      </w:pPr>
      <w:r>
        <w:rPr>
          <w:b/>
        </w:rPr>
        <w:t>Consultation Paper</w:t>
      </w:r>
      <w:r w:rsidR="006622B1" w:rsidRPr="00351927">
        <w:rPr>
          <w:b/>
        </w:rPr>
        <w:t xml:space="preserve"> </w:t>
      </w:r>
      <w:r w:rsidR="006622B1" w:rsidRPr="007D0C26">
        <w:rPr>
          <w:b/>
        </w:rPr>
        <w:t>–</w:t>
      </w:r>
      <w:r w:rsidR="007D0C26" w:rsidRPr="007D0C26">
        <w:rPr>
          <w:b/>
        </w:rPr>
        <w:t xml:space="preserve"> </w:t>
      </w:r>
      <w:r w:rsidR="006622B1" w:rsidRPr="007D0C26">
        <w:rPr>
          <w:b/>
        </w:rPr>
        <w:t>Proposal P1030</w:t>
      </w:r>
    </w:p>
    <w:p w14:paraId="2F047B69" w14:textId="2451A197" w:rsidR="006622B1" w:rsidRPr="007D0C26" w:rsidRDefault="007D0C26" w:rsidP="00424BD1">
      <w:pPr>
        <w:pStyle w:val="FSTitle"/>
        <w:widowControl/>
        <w:spacing w:before="120" w:after="120"/>
      </w:pPr>
      <w:r w:rsidRPr="007D0C26">
        <w:t>Composition and Labelling of Electrolyte Drinks</w:t>
      </w:r>
    </w:p>
    <w:p w14:paraId="59FF315A" w14:textId="77777777" w:rsidR="006622B1" w:rsidRPr="00E81F6E" w:rsidRDefault="006622B1" w:rsidP="00424BD1">
      <w:pPr>
        <w:widowControl/>
        <w:pBdr>
          <w:bottom w:val="single" w:sz="12" w:space="1" w:color="auto"/>
        </w:pBdr>
        <w:spacing w:before="120" w:after="120"/>
        <w:rPr>
          <w:rFonts w:cs="Arial"/>
          <w:bCs/>
        </w:rPr>
      </w:pPr>
    </w:p>
    <w:p w14:paraId="19CCFA75" w14:textId="549C0FE0" w:rsidR="00173086" w:rsidRDefault="00173086" w:rsidP="00424BD1">
      <w:pPr>
        <w:widowControl/>
        <w:spacing w:before="120" w:after="120"/>
        <w:rPr>
          <w:sz w:val="20"/>
          <w:szCs w:val="20"/>
        </w:rPr>
      </w:pPr>
      <w:r>
        <w:rPr>
          <w:sz w:val="20"/>
          <w:szCs w:val="20"/>
        </w:rPr>
        <w:t>Proposal P1030 was</w:t>
      </w:r>
      <w:r w:rsidRPr="00847568">
        <w:rPr>
          <w:sz w:val="20"/>
          <w:szCs w:val="20"/>
        </w:rPr>
        <w:t xml:space="preserve"> prepared to review the regulation of </w:t>
      </w:r>
      <w:r w:rsidRPr="006329EA">
        <w:rPr>
          <w:sz w:val="20"/>
          <w:szCs w:val="20"/>
        </w:rPr>
        <w:t>electrolyte drinks</w:t>
      </w:r>
      <w:r w:rsidRPr="00847568">
        <w:rPr>
          <w:sz w:val="20"/>
          <w:szCs w:val="20"/>
        </w:rPr>
        <w:t xml:space="preserve"> in the </w:t>
      </w:r>
      <w:r w:rsidRPr="00847568">
        <w:rPr>
          <w:i/>
          <w:sz w:val="20"/>
          <w:szCs w:val="20"/>
        </w:rPr>
        <w:t>Australia New Zealand Food Standards Code</w:t>
      </w:r>
      <w:r w:rsidRPr="00847568">
        <w:rPr>
          <w:sz w:val="20"/>
          <w:szCs w:val="20"/>
        </w:rPr>
        <w:t>. FSANZ is seeking stakeholder views in relation to a number of issues</w:t>
      </w:r>
      <w:r>
        <w:rPr>
          <w:sz w:val="20"/>
          <w:szCs w:val="20"/>
        </w:rPr>
        <w:t xml:space="preserve">, which </w:t>
      </w:r>
      <w:r w:rsidRPr="00847568">
        <w:rPr>
          <w:sz w:val="20"/>
          <w:szCs w:val="20"/>
        </w:rPr>
        <w:t xml:space="preserve">will inform FSANZ’s </w:t>
      </w:r>
      <w:r>
        <w:rPr>
          <w:sz w:val="20"/>
          <w:szCs w:val="20"/>
        </w:rPr>
        <w:t xml:space="preserve">further consideration of the </w:t>
      </w:r>
      <w:r w:rsidR="0064746C">
        <w:rPr>
          <w:sz w:val="20"/>
          <w:szCs w:val="20"/>
        </w:rPr>
        <w:t>p</w:t>
      </w:r>
      <w:r>
        <w:rPr>
          <w:sz w:val="20"/>
          <w:szCs w:val="20"/>
        </w:rPr>
        <w:t>roposal.</w:t>
      </w:r>
    </w:p>
    <w:p w14:paraId="095A831A" w14:textId="1C140B9E" w:rsidR="006622B1" w:rsidRDefault="006622B1" w:rsidP="00424BD1">
      <w:pPr>
        <w:widowControl/>
        <w:spacing w:before="120" w:after="120"/>
        <w:rPr>
          <w:sz w:val="20"/>
          <w:szCs w:val="20"/>
        </w:rPr>
      </w:pPr>
      <w:r>
        <w:rPr>
          <w:sz w:val="20"/>
          <w:szCs w:val="20"/>
        </w:rPr>
        <w:t>For information about making a</w:t>
      </w:r>
      <w:r w:rsidRPr="007C174F">
        <w:rPr>
          <w:sz w:val="20"/>
          <w:szCs w:val="20"/>
        </w:rPr>
        <w:t xml:space="preserve"> submission</w:t>
      </w:r>
      <w:r>
        <w:rPr>
          <w:sz w:val="20"/>
          <w:szCs w:val="20"/>
        </w:rPr>
        <w:t>, visit</w:t>
      </w:r>
      <w:r w:rsidRPr="007C174F">
        <w:rPr>
          <w:sz w:val="20"/>
          <w:szCs w:val="20"/>
        </w:rPr>
        <w:t xml:space="preserve"> the FSANZ </w:t>
      </w:r>
      <w:hyperlink r:id="rId15" w:history="1">
        <w:r w:rsidR="00B229A4">
          <w:rPr>
            <w:rStyle w:val="Hyperlink"/>
            <w:sz w:val="20"/>
            <w:szCs w:val="20"/>
          </w:rPr>
          <w:t>2</w:t>
        </w:r>
      </w:hyperlink>
      <w:r w:rsidRPr="007C174F">
        <w:rPr>
          <w:sz w:val="20"/>
          <w:szCs w:val="20"/>
        </w:rPr>
        <w:t>.</w:t>
      </w:r>
    </w:p>
    <w:p w14:paraId="4FBFF4B2" w14:textId="16E5F15C" w:rsidR="006622B1" w:rsidRPr="00276026" w:rsidRDefault="006622B1" w:rsidP="00424BD1">
      <w:pPr>
        <w:widowControl/>
        <w:spacing w:before="120" w:after="120"/>
        <w:ind w:right="-428"/>
        <w:rPr>
          <w:sz w:val="20"/>
          <w:szCs w:val="20"/>
        </w:rPr>
      </w:pPr>
      <w:r w:rsidRPr="00276026">
        <w:rPr>
          <w:sz w:val="20"/>
          <w:szCs w:val="20"/>
        </w:rPr>
        <w:t xml:space="preserve">All submissions will be published on our website. We will not publish material </w:t>
      </w:r>
      <w:r>
        <w:rPr>
          <w:sz w:val="20"/>
          <w:szCs w:val="20"/>
        </w:rPr>
        <w:t>that 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3AAFC0B4" w14:textId="1DE662A5" w:rsidR="006622B1" w:rsidRPr="007C174F" w:rsidRDefault="006622B1" w:rsidP="00424BD1">
      <w:pPr>
        <w:widowControl/>
        <w:spacing w:before="120" w:after="120"/>
        <w:rPr>
          <w:color w:val="000000"/>
          <w:sz w:val="20"/>
          <w:szCs w:val="20"/>
          <w:lang w:val="en-AU"/>
        </w:rPr>
      </w:pPr>
      <w:r>
        <w:rPr>
          <w:color w:val="000000"/>
          <w:sz w:val="20"/>
          <w:szCs w:val="20"/>
          <w:lang w:val="en-AU"/>
        </w:rPr>
        <w:t>Under s</w:t>
      </w:r>
      <w:r w:rsidRPr="007C174F">
        <w:rPr>
          <w:color w:val="000000"/>
          <w:sz w:val="20"/>
          <w:szCs w:val="20"/>
          <w:lang w:val="en-AU"/>
        </w:rPr>
        <w:t xml:space="preserve">ection 114 </w:t>
      </w:r>
      <w:r>
        <w:rPr>
          <w:color w:val="000000"/>
          <w:sz w:val="20"/>
          <w:szCs w:val="20"/>
          <w:lang w:val="en-AU"/>
        </w:rPr>
        <w:t>of the FSANZ Act, some information provided to FSANZ cannot be disclosed. More</w:t>
      </w:r>
      <w:r w:rsidRPr="007C174F">
        <w:rPr>
          <w:color w:val="000000"/>
          <w:sz w:val="20"/>
          <w:szCs w:val="20"/>
          <w:lang w:val="en-AU"/>
        </w:rPr>
        <w:t xml:space="preserve"> information about the disclosure of confidential commercial information is available on the FSANZ </w:t>
      </w:r>
      <w:hyperlink r:id="rId16" w:history="1">
        <w:r w:rsidRPr="00EC7995">
          <w:rPr>
            <w:rStyle w:val="Hyperlink"/>
            <w:sz w:val="20"/>
            <w:szCs w:val="20"/>
            <w:lang w:val="en-AU"/>
          </w:rPr>
          <w:t>website</w:t>
        </w:r>
      </w:hyperlink>
      <w:r>
        <w:rPr>
          <w:color w:val="000000"/>
          <w:sz w:val="20"/>
          <w:szCs w:val="20"/>
          <w:lang w:val="en-AU"/>
        </w:rPr>
        <w:t>.</w:t>
      </w:r>
    </w:p>
    <w:p w14:paraId="760D5692" w14:textId="4EAA1EF5" w:rsidR="006622B1" w:rsidRPr="007C174F" w:rsidRDefault="006622B1" w:rsidP="00424BD1">
      <w:pPr>
        <w:widowControl/>
        <w:spacing w:before="120" w:after="120"/>
        <w:rPr>
          <w:color w:val="000000"/>
          <w:sz w:val="20"/>
          <w:szCs w:val="20"/>
          <w:lang w:val="en-AU"/>
        </w:rPr>
      </w:pPr>
      <w:r w:rsidRPr="007C174F">
        <w:rPr>
          <w:color w:val="000000"/>
          <w:sz w:val="20"/>
          <w:szCs w:val="20"/>
          <w:lang w:val="en-AU"/>
        </w:rPr>
        <w:t>Submissions should be made in writing; be marked clearly with the word ‘Submission’ and quote the correct project number and name</w:t>
      </w:r>
      <w:r>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w:t>
      </w:r>
      <w:r w:rsidR="00EC7995">
        <w:rPr>
          <w:color w:val="000000"/>
          <w:sz w:val="20"/>
          <w:szCs w:val="20"/>
          <w:lang w:val="en-AU"/>
        </w:rPr>
        <w:t>via</w:t>
      </w:r>
      <w:r w:rsidR="00EC7995" w:rsidRPr="007C174F">
        <w:rPr>
          <w:color w:val="000000"/>
          <w:sz w:val="20"/>
          <w:szCs w:val="20"/>
          <w:lang w:val="en-AU"/>
        </w:rPr>
        <w:t xml:space="preserve"> </w:t>
      </w:r>
      <w:r w:rsidRPr="007C174F">
        <w:rPr>
          <w:color w:val="000000"/>
          <w:sz w:val="20"/>
          <w:szCs w:val="20"/>
          <w:lang w:val="en-AU"/>
        </w:rPr>
        <w:t xml:space="preserve">the FSANZ </w:t>
      </w:r>
      <w:hyperlink r:id="rId17" w:history="1">
        <w:r w:rsidRPr="00EC7995">
          <w:rPr>
            <w:rStyle w:val="Hyperlink"/>
            <w:sz w:val="20"/>
            <w:szCs w:val="20"/>
            <w:lang w:val="en-AU"/>
          </w:rPr>
          <w:t>website</w:t>
        </w:r>
      </w:hyperlink>
      <w:r>
        <w:rPr>
          <w:color w:val="000000"/>
          <w:sz w:val="20"/>
          <w:szCs w:val="20"/>
          <w:lang w:val="en-AU"/>
        </w:rPr>
        <w:t>. 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Pr>
          <w:color w:val="000000"/>
          <w:sz w:val="20"/>
          <w:szCs w:val="20"/>
          <w:lang w:val="en-AU"/>
        </w:rPr>
        <w:t xml:space="preserve">. </w:t>
      </w:r>
    </w:p>
    <w:p w14:paraId="536F89B0" w14:textId="7DA15B53" w:rsidR="006622B1" w:rsidRPr="007C174F" w:rsidRDefault="006622B1" w:rsidP="00424BD1">
      <w:pPr>
        <w:widowControl/>
        <w:spacing w:before="120" w:after="120"/>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Pr>
          <w:color w:val="000000"/>
          <w:sz w:val="20"/>
          <w:szCs w:val="20"/>
          <w:lang w:val="en-AU"/>
        </w:rPr>
        <w:t xml:space="preserve">via </w:t>
      </w:r>
      <w:r w:rsidRPr="007C174F">
        <w:rPr>
          <w:color w:val="000000"/>
          <w:sz w:val="20"/>
          <w:szCs w:val="20"/>
          <w:lang w:val="en-AU"/>
        </w:rPr>
        <w:t>the FSANZ website</w:t>
      </w:r>
      <w:r>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5EEDCF10" w14:textId="48C8BBE0" w:rsidR="006622B1" w:rsidRPr="00FB1533" w:rsidRDefault="006622B1" w:rsidP="00424BD1">
      <w:pPr>
        <w:widowControl/>
        <w:tabs>
          <w:tab w:val="left" w:pos="7920"/>
        </w:tabs>
        <w:autoSpaceDE w:val="0"/>
        <w:autoSpaceDN w:val="0"/>
        <w:adjustRightInd w:val="0"/>
        <w:spacing w:before="120" w:after="120"/>
        <w:jc w:val="center"/>
        <w:rPr>
          <w:rFonts w:cs="Arial"/>
          <w:b/>
          <w:bCs/>
          <w:color w:val="FF0000"/>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w:t>
      </w:r>
      <w:r w:rsidRPr="00B229A4">
        <w:rPr>
          <w:rFonts w:cs="Arial"/>
          <w:b/>
          <w:bCs/>
          <w:sz w:val="24"/>
        </w:rPr>
        <w:t xml:space="preserve">time) </w:t>
      </w:r>
      <w:r w:rsidR="00B229A4" w:rsidRPr="00B229A4">
        <w:rPr>
          <w:rFonts w:cs="Arial"/>
          <w:b/>
          <w:bCs/>
          <w:sz w:val="24"/>
        </w:rPr>
        <w:t>9 July 2021</w:t>
      </w:r>
    </w:p>
    <w:p w14:paraId="424E9767" w14:textId="2E2DF9A7" w:rsidR="006622B1" w:rsidRPr="007C174F" w:rsidRDefault="006622B1" w:rsidP="00424BD1">
      <w:pPr>
        <w:widowControl/>
        <w:spacing w:before="120" w:after="120"/>
        <w:rPr>
          <w:sz w:val="20"/>
          <w:szCs w:val="20"/>
          <w:lang w:val="en-AU"/>
        </w:rPr>
      </w:pPr>
      <w:r w:rsidRPr="007C174F">
        <w:rPr>
          <w:sz w:val="20"/>
          <w:szCs w:val="20"/>
          <w:lang w:val="en-AU"/>
        </w:rPr>
        <w:t xml:space="preserve">Submissions received after this date will not be considered unless an extension had been given </w:t>
      </w:r>
      <w:r>
        <w:rPr>
          <w:sz w:val="20"/>
          <w:szCs w:val="20"/>
          <w:lang w:val="en-AU"/>
        </w:rPr>
        <w:t xml:space="preserve">before </w:t>
      </w:r>
      <w:r w:rsidRPr="007C174F">
        <w:rPr>
          <w:sz w:val="20"/>
          <w:szCs w:val="20"/>
          <w:lang w:val="en-AU"/>
        </w:rPr>
        <w:t>the closing date</w:t>
      </w:r>
      <w:r>
        <w:rPr>
          <w:sz w:val="20"/>
          <w:szCs w:val="20"/>
          <w:lang w:val="en-AU"/>
        </w:rPr>
        <w:t xml:space="preserve">. Extensions will only be granted due to </w:t>
      </w:r>
      <w:r w:rsidRPr="00AD7A3D">
        <w:rPr>
          <w:sz w:val="20"/>
          <w:szCs w:val="20"/>
          <w:lang w:val="en-AU"/>
        </w:rPr>
        <w:t>extraordinary</w:t>
      </w:r>
      <w:r w:rsidRPr="007C174F">
        <w:rPr>
          <w:sz w:val="20"/>
          <w:szCs w:val="20"/>
          <w:lang w:val="en-AU"/>
        </w:rPr>
        <w:t xml:space="preserve"> circumstances</w:t>
      </w:r>
      <w:r>
        <w:rPr>
          <w:sz w:val="20"/>
          <w:szCs w:val="20"/>
          <w:lang w:val="en-AU"/>
        </w:rPr>
        <w:t xml:space="preserve">. </w:t>
      </w:r>
      <w:r w:rsidRPr="007C174F">
        <w:rPr>
          <w:sz w:val="20"/>
          <w:szCs w:val="20"/>
          <w:lang w:val="en-AU"/>
        </w:rPr>
        <w:t>Any agreed extension will be notified on the FSANZ website and will apply to all submitters.</w:t>
      </w:r>
    </w:p>
    <w:p w14:paraId="673FF42E" w14:textId="5B562DA8" w:rsidR="006622B1" w:rsidRPr="007C174F" w:rsidRDefault="006622B1" w:rsidP="00424BD1">
      <w:pPr>
        <w:widowControl/>
        <w:spacing w:before="120" w:after="120"/>
        <w:rPr>
          <w:bCs/>
          <w:sz w:val="20"/>
          <w:szCs w:val="20"/>
          <w:lang w:val="en-AU"/>
        </w:rPr>
      </w:pPr>
      <w:r>
        <w:rPr>
          <w:sz w:val="20"/>
          <w:szCs w:val="20"/>
          <w:lang w:val="en-AU"/>
        </w:rPr>
        <w:t>Questions about</w:t>
      </w:r>
      <w:r w:rsidRPr="007C174F">
        <w:rPr>
          <w:sz w:val="20"/>
          <w:szCs w:val="20"/>
          <w:lang w:val="en-AU"/>
        </w:rPr>
        <w:t xml:space="preserve"> making submissions or the application process can be </w:t>
      </w:r>
      <w:r>
        <w:rPr>
          <w:sz w:val="20"/>
          <w:szCs w:val="20"/>
          <w:lang w:val="en-AU"/>
        </w:rPr>
        <w:t>sent to</w:t>
      </w:r>
      <w:r w:rsidRPr="007C174F">
        <w:rPr>
          <w:sz w:val="20"/>
          <w:szCs w:val="20"/>
          <w:lang w:val="en-AU"/>
        </w:rPr>
        <w:t xml:space="preserve"> </w:t>
      </w:r>
      <w:hyperlink r:id="rId19" w:history="1">
        <w:r w:rsidRPr="007C174F">
          <w:rPr>
            <w:rStyle w:val="Hyperlink"/>
            <w:rFonts w:cs="Arial"/>
            <w:sz w:val="20"/>
            <w:szCs w:val="20"/>
            <w:lang w:val="en-AU"/>
          </w:rPr>
          <w:t>standards.management@foodstandards.gov.au</w:t>
        </w:r>
      </w:hyperlink>
      <w:r w:rsidRPr="007C174F">
        <w:rPr>
          <w:sz w:val="20"/>
          <w:szCs w:val="20"/>
          <w:lang w:val="en-AU"/>
        </w:rPr>
        <w:t xml:space="preserve">. </w:t>
      </w:r>
    </w:p>
    <w:p w14:paraId="1B87688C" w14:textId="77777777" w:rsidR="006622B1" w:rsidRPr="003A7725" w:rsidRDefault="006622B1" w:rsidP="00424BD1">
      <w:pPr>
        <w:widowControl/>
        <w:spacing w:before="120" w:after="120"/>
        <w:rPr>
          <w:sz w:val="20"/>
          <w:lang w:val="en-AU"/>
        </w:rPr>
      </w:pPr>
    </w:p>
    <w:p w14:paraId="34C2828D" w14:textId="65B52115" w:rsidR="006622B1" w:rsidRPr="007C174F" w:rsidRDefault="006622B1" w:rsidP="00424BD1">
      <w:pPr>
        <w:widowControl/>
        <w:spacing w:before="120" w:after="120"/>
        <w:rPr>
          <w:sz w:val="20"/>
          <w:szCs w:val="20"/>
          <w:lang w:val="en-AU"/>
        </w:rPr>
      </w:pPr>
      <w:r w:rsidRPr="007C174F">
        <w:rPr>
          <w:sz w:val="20"/>
          <w:szCs w:val="20"/>
          <w:lang w:val="en-AU"/>
        </w:rPr>
        <w:t>Hard copy submissions may be sent to one of the following addresses:</w:t>
      </w:r>
    </w:p>
    <w:p w14:paraId="25171DD6" w14:textId="77777777" w:rsidR="006622B1" w:rsidRPr="007C174F" w:rsidRDefault="006622B1" w:rsidP="00424BD1">
      <w:pPr>
        <w:widowControl/>
        <w:spacing w:before="120" w:after="120"/>
        <w:rPr>
          <w:sz w:val="20"/>
          <w:szCs w:val="20"/>
          <w:lang w:val="en-AU"/>
        </w:rPr>
      </w:pPr>
    </w:p>
    <w:p w14:paraId="02E06094" w14:textId="77777777" w:rsidR="006622B1" w:rsidRPr="007C174F" w:rsidRDefault="006622B1" w:rsidP="00647509">
      <w:pPr>
        <w:widowControl/>
        <w:tabs>
          <w:tab w:val="left" w:pos="4536"/>
        </w:tabs>
        <w:spacing w:before="120" w:after="120"/>
        <w:contextualSpacing/>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74E5CC54" w14:textId="77777777" w:rsidR="006622B1" w:rsidRPr="007C174F" w:rsidRDefault="006622B1" w:rsidP="00647509">
      <w:pPr>
        <w:widowControl/>
        <w:tabs>
          <w:tab w:val="left" w:pos="4536"/>
        </w:tabs>
        <w:spacing w:before="120" w:after="120"/>
        <w:contextualSpacing/>
        <w:rPr>
          <w:sz w:val="20"/>
          <w:szCs w:val="20"/>
        </w:rPr>
      </w:pPr>
      <w:r w:rsidRPr="007C174F">
        <w:rPr>
          <w:sz w:val="20"/>
          <w:szCs w:val="20"/>
        </w:rPr>
        <w:t xml:space="preserve">PO Box </w:t>
      </w:r>
      <w:r>
        <w:rPr>
          <w:sz w:val="20"/>
          <w:szCs w:val="20"/>
        </w:rPr>
        <w:t>5423</w:t>
      </w:r>
      <w:r w:rsidRPr="007C174F">
        <w:rPr>
          <w:sz w:val="20"/>
          <w:szCs w:val="20"/>
        </w:rPr>
        <w:tab/>
      </w:r>
      <w:r w:rsidRPr="007C174F">
        <w:rPr>
          <w:sz w:val="20"/>
          <w:szCs w:val="20"/>
        </w:rPr>
        <w:tab/>
        <w:t>PO Box 10559</w:t>
      </w:r>
    </w:p>
    <w:p w14:paraId="2EDCA60F" w14:textId="77777777" w:rsidR="006622B1" w:rsidRPr="007C174F" w:rsidRDefault="006622B1" w:rsidP="00647509">
      <w:pPr>
        <w:widowControl/>
        <w:tabs>
          <w:tab w:val="left" w:pos="4536"/>
        </w:tabs>
        <w:spacing w:before="120" w:after="120"/>
        <w:contextualSpacing/>
        <w:rPr>
          <w:sz w:val="20"/>
          <w:szCs w:val="20"/>
        </w:rPr>
      </w:pPr>
      <w:r>
        <w:rPr>
          <w:sz w:val="20"/>
          <w:szCs w:val="20"/>
        </w:rPr>
        <w:t>KINGSTON</w:t>
      </w:r>
      <w:r w:rsidRPr="007C174F">
        <w:rPr>
          <w:sz w:val="20"/>
          <w:szCs w:val="20"/>
        </w:rPr>
        <w:t xml:space="preserve"> </w:t>
      </w:r>
      <w:r>
        <w:rPr>
          <w:sz w:val="20"/>
          <w:szCs w:val="20"/>
        </w:rPr>
        <w:t xml:space="preserve"> </w:t>
      </w:r>
      <w:r w:rsidRPr="007C174F">
        <w:rPr>
          <w:sz w:val="20"/>
          <w:szCs w:val="20"/>
        </w:rPr>
        <w:t>ACT</w:t>
      </w:r>
      <w:r>
        <w:rPr>
          <w:sz w:val="20"/>
          <w:szCs w:val="20"/>
        </w:rPr>
        <w:t xml:space="preserve"> </w:t>
      </w:r>
      <w:r w:rsidRPr="007C174F">
        <w:rPr>
          <w:sz w:val="20"/>
          <w:szCs w:val="20"/>
        </w:rPr>
        <w:t xml:space="preserve"> 2</w:t>
      </w:r>
      <w:r>
        <w:rPr>
          <w:sz w:val="20"/>
          <w:szCs w:val="20"/>
        </w:rPr>
        <w:t>604</w:t>
      </w:r>
      <w:r w:rsidRPr="007C174F">
        <w:rPr>
          <w:sz w:val="20"/>
          <w:szCs w:val="20"/>
        </w:rPr>
        <w:tab/>
      </w:r>
      <w:r w:rsidRPr="007C174F">
        <w:rPr>
          <w:sz w:val="20"/>
          <w:szCs w:val="20"/>
        </w:rPr>
        <w:tab/>
        <w:t>The Terrace WELLINGTON 6143</w:t>
      </w:r>
    </w:p>
    <w:p w14:paraId="61DB5B73" w14:textId="77777777" w:rsidR="006622B1" w:rsidRPr="007C174F" w:rsidRDefault="006622B1" w:rsidP="00647509">
      <w:pPr>
        <w:widowControl/>
        <w:tabs>
          <w:tab w:val="left" w:pos="4536"/>
        </w:tabs>
        <w:spacing w:before="120" w:after="120"/>
        <w:contextualSpacing/>
        <w:rPr>
          <w:sz w:val="20"/>
          <w:szCs w:val="20"/>
        </w:rPr>
      </w:pPr>
      <w:r w:rsidRPr="007C174F">
        <w:rPr>
          <w:sz w:val="20"/>
          <w:szCs w:val="20"/>
        </w:rPr>
        <w:t>AUSTRALIA</w:t>
      </w:r>
      <w:r w:rsidRPr="007C174F">
        <w:rPr>
          <w:sz w:val="20"/>
          <w:szCs w:val="20"/>
        </w:rPr>
        <w:tab/>
      </w:r>
      <w:r w:rsidRPr="007C174F">
        <w:rPr>
          <w:sz w:val="20"/>
          <w:szCs w:val="20"/>
        </w:rPr>
        <w:tab/>
        <w:t>NEW ZEALAND</w:t>
      </w:r>
    </w:p>
    <w:p w14:paraId="375027FD" w14:textId="7B095B71" w:rsidR="006622B1" w:rsidRDefault="006622B1" w:rsidP="00647509">
      <w:pPr>
        <w:widowControl/>
        <w:tabs>
          <w:tab w:val="left" w:pos="4536"/>
        </w:tabs>
        <w:spacing w:before="120" w:after="120"/>
        <w:contextualSpacing/>
        <w:rPr>
          <w:sz w:val="20"/>
          <w:szCs w:val="20"/>
        </w:rPr>
      </w:pPr>
      <w:r w:rsidRPr="007C174F">
        <w:rPr>
          <w:sz w:val="20"/>
          <w:szCs w:val="20"/>
        </w:rPr>
        <w:lastRenderedPageBreak/>
        <w:t xml:space="preserve">Tel </w:t>
      </w:r>
      <w:r>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Pr>
          <w:sz w:val="20"/>
          <w:szCs w:val="20"/>
        </w:rPr>
        <w:t>+64 4 978 5630</w:t>
      </w:r>
    </w:p>
    <w:p w14:paraId="3106000D" w14:textId="77777777" w:rsidR="006622B1" w:rsidRDefault="006622B1" w:rsidP="00424BD1">
      <w:pPr>
        <w:widowControl/>
        <w:tabs>
          <w:tab w:val="left" w:pos="4536"/>
        </w:tabs>
        <w:spacing w:before="120" w:after="120"/>
        <w:rPr>
          <w:sz w:val="20"/>
          <w:szCs w:val="20"/>
        </w:rPr>
      </w:pPr>
    </w:p>
    <w:p w14:paraId="195633E9" w14:textId="77777777" w:rsidR="00413CA8" w:rsidRDefault="00413CA8" w:rsidP="00424BD1">
      <w:pPr>
        <w:widowControl/>
        <w:spacing w:before="120" w:after="120"/>
        <w:sectPr w:rsidR="00413CA8" w:rsidSect="00ED40BF">
          <w:footerReference w:type="even" r:id="rId20"/>
          <w:footerReference w:type="default" r:id="rId21"/>
          <w:headerReference w:type="first" r:id="rId22"/>
          <w:pgSz w:w="11906" w:h="16838"/>
          <w:pgMar w:top="1418" w:right="1418" w:bottom="1418" w:left="1418" w:header="709" w:footer="709" w:gutter="0"/>
          <w:pgNumType w:fmt="lowerRoman" w:start="1"/>
          <w:cols w:space="708"/>
          <w:docGrid w:linePitch="360"/>
        </w:sectPr>
      </w:pPr>
    </w:p>
    <w:p w14:paraId="195633EA" w14:textId="1579B68B" w:rsidR="00562917" w:rsidRPr="00647509" w:rsidRDefault="00562917" w:rsidP="00424BD1">
      <w:pPr>
        <w:widowControl/>
        <w:spacing w:before="120" w:after="120"/>
        <w:jc w:val="center"/>
        <w:rPr>
          <w:b/>
          <w:sz w:val="28"/>
          <w:szCs w:val="28"/>
        </w:rPr>
      </w:pPr>
      <w:r w:rsidRPr="00647509">
        <w:rPr>
          <w:b/>
          <w:sz w:val="28"/>
          <w:szCs w:val="28"/>
        </w:rPr>
        <w:lastRenderedPageBreak/>
        <w:t xml:space="preserve">Table of </w:t>
      </w:r>
      <w:r w:rsidR="00456B54" w:rsidRPr="00647509">
        <w:rPr>
          <w:b/>
          <w:sz w:val="28"/>
          <w:szCs w:val="28"/>
        </w:rPr>
        <w:t>C</w:t>
      </w:r>
      <w:r w:rsidRPr="00647509">
        <w:rPr>
          <w:b/>
          <w:sz w:val="28"/>
          <w:szCs w:val="28"/>
        </w:rPr>
        <w:t>ontents</w:t>
      </w:r>
      <w:r w:rsidR="00C053B1">
        <w:rPr>
          <w:b/>
          <w:sz w:val="28"/>
          <w:szCs w:val="28"/>
        </w:rPr>
        <w:t xml:space="preserve"> </w:t>
      </w:r>
    </w:p>
    <w:sdt>
      <w:sdtPr>
        <w:rPr>
          <w:b w:val="0"/>
          <w:bCs w:val="0"/>
          <w:sz w:val="22"/>
          <w:szCs w:val="24"/>
          <w:lang w:bidi="en-US"/>
        </w:rPr>
        <w:id w:val="832494029"/>
        <w:docPartObj>
          <w:docPartGallery w:val="Table of Contents"/>
          <w:docPartUnique/>
        </w:docPartObj>
      </w:sdtPr>
      <w:sdtEndPr>
        <w:rPr>
          <w:noProof/>
        </w:rPr>
      </w:sdtEndPr>
      <w:sdtContent>
        <w:p w14:paraId="61723A67" w14:textId="40443317" w:rsidR="0085457E" w:rsidRPr="002017B8" w:rsidRDefault="0085457E" w:rsidP="002017B8">
          <w:pPr>
            <w:pStyle w:val="TOCHeading"/>
            <w:spacing w:after="0"/>
            <w:rPr>
              <w:sz w:val="20"/>
              <w:szCs w:val="20"/>
            </w:rPr>
          </w:pPr>
        </w:p>
        <w:p w14:paraId="4B853DC5" w14:textId="775AD92D" w:rsidR="00965DE2" w:rsidRDefault="0085457E">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72673542" w:history="1">
            <w:r w:rsidR="00965DE2" w:rsidRPr="007C740D">
              <w:rPr>
                <w:rStyle w:val="Hyperlink"/>
                <w:noProof/>
              </w:rPr>
              <w:t>Executive summary</w:t>
            </w:r>
            <w:r w:rsidR="00965DE2">
              <w:rPr>
                <w:noProof/>
                <w:webHidden/>
              </w:rPr>
              <w:tab/>
            </w:r>
            <w:r w:rsidR="00965DE2">
              <w:rPr>
                <w:noProof/>
                <w:webHidden/>
              </w:rPr>
              <w:fldChar w:fldCharType="begin"/>
            </w:r>
            <w:r w:rsidR="00965DE2">
              <w:rPr>
                <w:noProof/>
                <w:webHidden/>
              </w:rPr>
              <w:instrText xml:space="preserve"> PAGEREF _Toc72673542 \h </w:instrText>
            </w:r>
            <w:r w:rsidR="00965DE2">
              <w:rPr>
                <w:noProof/>
                <w:webHidden/>
              </w:rPr>
            </w:r>
            <w:r w:rsidR="00965DE2">
              <w:rPr>
                <w:noProof/>
                <w:webHidden/>
              </w:rPr>
              <w:fldChar w:fldCharType="separate"/>
            </w:r>
            <w:r w:rsidR="00965DE2">
              <w:rPr>
                <w:noProof/>
                <w:webHidden/>
              </w:rPr>
              <w:t>3</w:t>
            </w:r>
            <w:r w:rsidR="00965DE2">
              <w:rPr>
                <w:noProof/>
                <w:webHidden/>
              </w:rPr>
              <w:fldChar w:fldCharType="end"/>
            </w:r>
          </w:hyperlink>
        </w:p>
        <w:p w14:paraId="519F89D4" w14:textId="6E407EF3" w:rsidR="00965DE2" w:rsidRDefault="00F42DD8">
          <w:pPr>
            <w:pStyle w:val="TOC1"/>
            <w:tabs>
              <w:tab w:val="left" w:pos="440"/>
              <w:tab w:val="right" w:leader="dot" w:pos="9060"/>
            </w:tabs>
            <w:rPr>
              <w:rFonts w:eastAsiaTheme="minorEastAsia" w:cstheme="minorBidi"/>
              <w:b w:val="0"/>
              <w:bCs w:val="0"/>
              <w:caps w:val="0"/>
              <w:noProof/>
              <w:sz w:val="22"/>
              <w:szCs w:val="22"/>
              <w:lang w:eastAsia="en-GB" w:bidi="ar-SA"/>
            </w:rPr>
          </w:pPr>
          <w:hyperlink w:anchor="_Toc72673543" w:history="1">
            <w:r w:rsidR="00965DE2" w:rsidRPr="007C740D">
              <w:rPr>
                <w:rStyle w:val="Hyperlink"/>
                <w:noProof/>
              </w:rPr>
              <w:t>1</w:t>
            </w:r>
            <w:r w:rsidR="00965DE2">
              <w:rPr>
                <w:rFonts w:eastAsiaTheme="minorEastAsia" w:cstheme="minorBidi"/>
                <w:b w:val="0"/>
                <w:bCs w:val="0"/>
                <w:caps w:val="0"/>
                <w:noProof/>
                <w:sz w:val="22"/>
                <w:szCs w:val="22"/>
                <w:lang w:eastAsia="en-GB" w:bidi="ar-SA"/>
              </w:rPr>
              <w:tab/>
            </w:r>
            <w:r w:rsidR="00965DE2" w:rsidRPr="007C740D">
              <w:rPr>
                <w:rStyle w:val="Hyperlink"/>
                <w:noProof/>
              </w:rPr>
              <w:t>Introduction</w:t>
            </w:r>
            <w:r w:rsidR="00965DE2">
              <w:rPr>
                <w:noProof/>
                <w:webHidden/>
              </w:rPr>
              <w:tab/>
            </w:r>
            <w:r w:rsidR="00965DE2">
              <w:rPr>
                <w:noProof/>
                <w:webHidden/>
              </w:rPr>
              <w:fldChar w:fldCharType="begin"/>
            </w:r>
            <w:r w:rsidR="00965DE2">
              <w:rPr>
                <w:noProof/>
                <w:webHidden/>
              </w:rPr>
              <w:instrText xml:space="preserve"> PAGEREF _Toc72673543 \h </w:instrText>
            </w:r>
            <w:r w:rsidR="00965DE2">
              <w:rPr>
                <w:noProof/>
                <w:webHidden/>
              </w:rPr>
            </w:r>
            <w:r w:rsidR="00965DE2">
              <w:rPr>
                <w:noProof/>
                <w:webHidden/>
              </w:rPr>
              <w:fldChar w:fldCharType="separate"/>
            </w:r>
            <w:r w:rsidR="00965DE2">
              <w:rPr>
                <w:noProof/>
                <w:webHidden/>
              </w:rPr>
              <w:t>5</w:t>
            </w:r>
            <w:r w:rsidR="00965DE2">
              <w:rPr>
                <w:noProof/>
                <w:webHidden/>
              </w:rPr>
              <w:fldChar w:fldCharType="end"/>
            </w:r>
          </w:hyperlink>
        </w:p>
        <w:p w14:paraId="70776CFE" w14:textId="6B8152F1" w:rsidR="00965DE2" w:rsidRDefault="00F42DD8">
          <w:pPr>
            <w:pStyle w:val="TOC2"/>
            <w:tabs>
              <w:tab w:val="left" w:pos="880"/>
              <w:tab w:val="right" w:leader="dot" w:pos="9060"/>
            </w:tabs>
            <w:rPr>
              <w:rFonts w:eastAsiaTheme="minorEastAsia" w:cstheme="minorBidi"/>
              <w:smallCaps w:val="0"/>
              <w:noProof/>
              <w:sz w:val="22"/>
              <w:szCs w:val="22"/>
              <w:lang w:eastAsia="en-GB" w:bidi="ar-SA"/>
            </w:rPr>
          </w:pPr>
          <w:hyperlink w:anchor="_Toc72673544" w:history="1">
            <w:r w:rsidR="00965DE2" w:rsidRPr="007C740D">
              <w:rPr>
                <w:rStyle w:val="Hyperlink"/>
                <w:noProof/>
              </w:rPr>
              <w:t>1.1</w:t>
            </w:r>
            <w:r w:rsidR="00965DE2">
              <w:rPr>
                <w:rFonts w:eastAsiaTheme="minorEastAsia" w:cstheme="minorBidi"/>
                <w:smallCaps w:val="0"/>
                <w:noProof/>
                <w:sz w:val="22"/>
                <w:szCs w:val="22"/>
                <w:lang w:eastAsia="en-GB" w:bidi="ar-SA"/>
              </w:rPr>
              <w:tab/>
            </w:r>
            <w:r w:rsidR="00965DE2" w:rsidRPr="007C740D">
              <w:rPr>
                <w:rStyle w:val="Hyperlink"/>
                <w:noProof/>
              </w:rPr>
              <w:t>Original proposal</w:t>
            </w:r>
            <w:r w:rsidR="00965DE2">
              <w:rPr>
                <w:noProof/>
                <w:webHidden/>
              </w:rPr>
              <w:tab/>
            </w:r>
            <w:r w:rsidR="00965DE2">
              <w:rPr>
                <w:noProof/>
                <w:webHidden/>
              </w:rPr>
              <w:fldChar w:fldCharType="begin"/>
            </w:r>
            <w:r w:rsidR="00965DE2">
              <w:rPr>
                <w:noProof/>
                <w:webHidden/>
              </w:rPr>
              <w:instrText xml:space="preserve"> PAGEREF _Toc72673544 \h </w:instrText>
            </w:r>
            <w:r w:rsidR="00965DE2">
              <w:rPr>
                <w:noProof/>
                <w:webHidden/>
              </w:rPr>
            </w:r>
            <w:r w:rsidR="00965DE2">
              <w:rPr>
                <w:noProof/>
                <w:webHidden/>
              </w:rPr>
              <w:fldChar w:fldCharType="separate"/>
            </w:r>
            <w:r w:rsidR="00965DE2">
              <w:rPr>
                <w:noProof/>
                <w:webHidden/>
              </w:rPr>
              <w:t>5</w:t>
            </w:r>
            <w:r w:rsidR="00965DE2">
              <w:rPr>
                <w:noProof/>
                <w:webHidden/>
              </w:rPr>
              <w:fldChar w:fldCharType="end"/>
            </w:r>
          </w:hyperlink>
        </w:p>
        <w:p w14:paraId="309D4A74" w14:textId="4A4373F0" w:rsidR="00965DE2" w:rsidRDefault="00F42DD8">
          <w:pPr>
            <w:pStyle w:val="TOC2"/>
            <w:tabs>
              <w:tab w:val="left" w:pos="880"/>
              <w:tab w:val="right" w:leader="dot" w:pos="9060"/>
            </w:tabs>
            <w:rPr>
              <w:rFonts w:eastAsiaTheme="minorEastAsia" w:cstheme="minorBidi"/>
              <w:smallCaps w:val="0"/>
              <w:noProof/>
              <w:sz w:val="22"/>
              <w:szCs w:val="22"/>
              <w:lang w:eastAsia="en-GB" w:bidi="ar-SA"/>
            </w:rPr>
          </w:pPr>
          <w:hyperlink w:anchor="_Toc72673545" w:history="1">
            <w:r w:rsidR="00965DE2" w:rsidRPr="007C740D">
              <w:rPr>
                <w:rStyle w:val="Hyperlink"/>
                <w:noProof/>
              </w:rPr>
              <w:t>1.2</w:t>
            </w:r>
            <w:r w:rsidR="00965DE2">
              <w:rPr>
                <w:rFonts w:eastAsiaTheme="minorEastAsia" w:cstheme="minorBidi"/>
                <w:smallCaps w:val="0"/>
                <w:noProof/>
                <w:sz w:val="22"/>
                <w:szCs w:val="22"/>
                <w:lang w:eastAsia="en-GB" w:bidi="ar-SA"/>
              </w:rPr>
              <w:tab/>
            </w:r>
            <w:r w:rsidR="00965DE2" w:rsidRPr="007C740D">
              <w:rPr>
                <w:rStyle w:val="Hyperlink"/>
                <w:noProof/>
              </w:rPr>
              <w:t>Modified proposal</w:t>
            </w:r>
            <w:r w:rsidR="00965DE2">
              <w:rPr>
                <w:noProof/>
                <w:webHidden/>
              </w:rPr>
              <w:tab/>
            </w:r>
            <w:r w:rsidR="00965DE2">
              <w:rPr>
                <w:noProof/>
                <w:webHidden/>
              </w:rPr>
              <w:fldChar w:fldCharType="begin"/>
            </w:r>
            <w:r w:rsidR="00965DE2">
              <w:rPr>
                <w:noProof/>
                <w:webHidden/>
              </w:rPr>
              <w:instrText xml:space="preserve"> PAGEREF _Toc72673545 \h </w:instrText>
            </w:r>
            <w:r w:rsidR="00965DE2">
              <w:rPr>
                <w:noProof/>
                <w:webHidden/>
              </w:rPr>
            </w:r>
            <w:r w:rsidR="00965DE2">
              <w:rPr>
                <w:noProof/>
                <w:webHidden/>
              </w:rPr>
              <w:fldChar w:fldCharType="separate"/>
            </w:r>
            <w:r w:rsidR="00965DE2">
              <w:rPr>
                <w:noProof/>
                <w:webHidden/>
              </w:rPr>
              <w:t>5</w:t>
            </w:r>
            <w:r w:rsidR="00965DE2">
              <w:rPr>
                <w:noProof/>
                <w:webHidden/>
              </w:rPr>
              <w:fldChar w:fldCharType="end"/>
            </w:r>
          </w:hyperlink>
        </w:p>
        <w:p w14:paraId="1D3E197D" w14:textId="67E5BBC9" w:rsidR="00965DE2" w:rsidRDefault="00F42DD8">
          <w:pPr>
            <w:pStyle w:val="TOC2"/>
            <w:tabs>
              <w:tab w:val="left" w:pos="880"/>
              <w:tab w:val="right" w:leader="dot" w:pos="9060"/>
            </w:tabs>
            <w:rPr>
              <w:rFonts w:eastAsiaTheme="minorEastAsia" w:cstheme="minorBidi"/>
              <w:smallCaps w:val="0"/>
              <w:noProof/>
              <w:sz w:val="22"/>
              <w:szCs w:val="22"/>
              <w:lang w:eastAsia="en-GB" w:bidi="ar-SA"/>
            </w:rPr>
          </w:pPr>
          <w:hyperlink w:anchor="_Toc72673546" w:history="1">
            <w:r w:rsidR="00965DE2" w:rsidRPr="007C740D">
              <w:rPr>
                <w:rStyle w:val="Hyperlink"/>
                <w:noProof/>
              </w:rPr>
              <w:t>1.3</w:t>
            </w:r>
            <w:r w:rsidR="00965DE2">
              <w:rPr>
                <w:rFonts w:eastAsiaTheme="minorEastAsia" w:cstheme="minorBidi"/>
                <w:smallCaps w:val="0"/>
                <w:noProof/>
                <w:sz w:val="22"/>
                <w:szCs w:val="22"/>
                <w:lang w:eastAsia="en-GB" w:bidi="ar-SA"/>
              </w:rPr>
              <w:tab/>
            </w:r>
            <w:r w:rsidR="00965DE2" w:rsidRPr="007C740D">
              <w:rPr>
                <w:rStyle w:val="Hyperlink"/>
                <w:noProof/>
              </w:rPr>
              <w:t>The current standards</w:t>
            </w:r>
            <w:r w:rsidR="00965DE2">
              <w:rPr>
                <w:noProof/>
                <w:webHidden/>
              </w:rPr>
              <w:tab/>
            </w:r>
            <w:r w:rsidR="00965DE2">
              <w:rPr>
                <w:noProof/>
                <w:webHidden/>
              </w:rPr>
              <w:fldChar w:fldCharType="begin"/>
            </w:r>
            <w:r w:rsidR="00965DE2">
              <w:rPr>
                <w:noProof/>
                <w:webHidden/>
              </w:rPr>
              <w:instrText xml:space="preserve"> PAGEREF _Toc72673546 \h </w:instrText>
            </w:r>
            <w:r w:rsidR="00965DE2">
              <w:rPr>
                <w:noProof/>
                <w:webHidden/>
              </w:rPr>
            </w:r>
            <w:r w:rsidR="00965DE2">
              <w:rPr>
                <w:noProof/>
                <w:webHidden/>
              </w:rPr>
              <w:fldChar w:fldCharType="separate"/>
            </w:r>
            <w:r w:rsidR="00965DE2">
              <w:rPr>
                <w:noProof/>
                <w:webHidden/>
              </w:rPr>
              <w:t>6</w:t>
            </w:r>
            <w:r w:rsidR="00965DE2">
              <w:rPr>
                <w:noProof/>
                <w:webHidden/>
              </w:rPr>
              <w:fldChar w:fldCharType="end"/>
            </w:r>
          </w:hyperlink>
        </w:p>
        <w:p w14:paraId="72647F9D" w14:textId="0402336E" w:rsidR="00965DE2" w:rsidRDefault="00F42DD8">
          <w:pPr>
            <w:pStyle w:val="TOC3"/>
            <w:tabs>
              <w:tab w:val="left" w:pos="1100"/>
              <w:tab w:val="right" w:leader="dot" w:pos="9060"/>
            </w:tabs>
            <w:rPr>
              <w:rFonts w:eastAsiaTheme="minorEastAsia" w:cstheme="minorBidi"/>
              <w:i w:val="0"/>
              <w:iCs w:val="0"/>
              <w:noProof/>
              <w:sz w:val="22"/>
              <w:szCs w:val="22"/>
              <w:lang w:eastAsia="en-GB" w:bidi="ar-SA"/>
            </w:rPr>
          </w:pPr>
          <w:hyperlink w:anchor="_Toc72673547" w:history="1">
            <w:r w:rsidR="00965DE2" w:rsidRPr="007C740D">
              <w:rPr>
                <w:rStyle w:val="Hyperlink"/>
                <w:noProof/>
              </w:rPr>
              <w:t>1.3.1</w:t>
            </w:r>
            <w:r w:rsidR="00965DE2">
              <w:rPr>
                <w:rFonts w:eastAsiaTheme="minorEastAsia" w:cstheme="minorBidi"/>
                <w:i w:val="0"/>
                <w:iCs w:val="0"/>
                <w:noProof/>
                <w:sz w:val="22"/>
                <w:szCs w:val="22"/>
                <w:lang w:eastAsia="en-GB" w:bidi="ar-SA"/>
              </w:rPr>
              <w:tab/>
            </w:r>
            <w:r w:rsidR="00965DE2" w:rsidRPr="007C740D">
              <w:rPr>
                <w:rStyle w:val="Hyperlink"/>
                <w:noProof/>
              </w:rPr>
              <w:t>Standard 2.6.2</w:t>
            </w:r>
            <w:r w:rsidR="00965DE2">
              <w:rPr>
                <w:noProof/>
                <w:webHidden/>
              </w:rPr>
              <w:tab/>
            </w:r>
            <w:r w:rsidR="00965DE2">
              <w:rPr>
                <w:noProof/>
                <w:webHidden/>
              </w:rPr>
              <w:fldChar w:fldCharType="begin"/>
            </w:r>
            <w:r w:rsidR="00965DE2">
              <w:rPr>
                <w:noProof/>
                <w:webHidden/>
              </w:rPr>
              <w:instrText xml:space="preserve"> PAGEREF _Toc72673547 \h </w:instrText>
            </w:r>
            <w:r w:rsidR="00965DE2">
              <w:rPr>
                <w:noProof/>
                <w:webHidden/>
              </w:rPr>
            </w:r>
            <w:r w:rsidR="00965DE2">
              <w:rPr>
                <w:noProof/>
                <w:webHidden/>
              </w:rPr>
              <w:fldChar w:fldCharType="separate"/>
            </w:r>
            <w:r w:rsidR="00965DE2">
              <w:rPr>
                <w:noProof/>
                <w:webHidden/>
              </w:rPr>
              <w:t>6</w:t>
            </w:r>
            <w:r w:rsidR="00965DE2">
              <w:rPr>
                <w:noProof/>
                <w:webHidden/>
              </w:rPr>
              <w:fldChar w:fldCharType="end"/>
            </w:r>
          </w:hyperlink>
        </w:p>
        <w:p w14:paraId="14809483" w14:textId="2CAE89C9" w:rsidR="00965DE2" w:rsidRDefault="00F42DD8">
          <w:pPr>
            <w:pStyle w:val="TOC3"/>
            <w:tabs>
              <w:tab w:val="left" w:pos="1100"/>
              <w:tab w:val="right" w:leader="dot" w:pos="9060"/>
            </w:tabs>
            <w:rPr>
              <w:rFonts w:eastAsiaTheme="minorEastAsia" w:cstheme="minorBidi"/>
              <w:i w:val="0"/>
              <w:iCs w:val="0"/>
              <w:noProof/>
              <w:sz w:val="22"/>
              <w:szCs w:val="22"/>
              <w:lang w:eastAsia="en-GB" w:bidi="ar-SA"/>
            </w:rPr>
          </w:pPr>
          <w:hyperlink w:anchor="_Toc72673548" w:history="1">
            <w:r w:rsidR="00965DE2" w:rsidRPr="007C740D">
              <w:rPr>
                <w:rStyle w:val="Hyperlink"/>
                <w:noProof/>
              </w:rPr>
              <w:t>1.3.2</w:t>
            </w:r>
            <w:r w:rsidR="00965DE2">
              <w:rPr>
                <w:rFonts w:eastAsiaTheme="minorEastAsia" w:cstheme="minorBidi"/>
                <w:i w:val="0"/>
                <w:iCs w:val="0"/>
                <w:noProof/>
                <w:sz w:val="22"/>
                <w:szCs w:val="22"/>
                <w:lang w:eastAsia="en-GB" w:bidi="ar-SA"/>
              </w:rPr>
              <w:tab/>
            </w:r>
            <w:r w:rsidR="00965DE2" w:rsidRPr="007C740D">
              <w:rPr>
                <w:rStyle w:val="Hyperlink"/>
                <w:noProof/>
              </w:rPr>
              <w:t>Standard 1.2.7</w:t>
            </w:r>
            <w:r w:rsidR="00965DE2">
              <w:rPr>
                <w:noProof/>
                <w:webHidden/>
              </w:rPr>
              <w:tab/>
            </w:r>
            <w:r w:rsidR="00965DE2">
              <w:rPr>
                <w:noProof/>
                <w:webHidden/>
              </w:rPr>
              <w:fldChar w:fldCharType="begin"/>
            </w:r>
            <w:r w:rsidR="00965DE2">
              <w:rPr>
                <w:noProof/>
                <w:webHidden/>
              </w:rPr>
              <w:instrText xml:space="preserve"> PAGEREF _Toc72673548 \h </w:instrText>
            </w:r>
            <w:r w:rsidR="00965DE2">
              <w:rPr>
                <w:noProof/>
                <w:webHidden/>
              </w:rPr>
            </w:r>
            <w:r w:rsidR="00965DE2">
              <w:rPr>
                <w:noProof/>
                <w:webHidden/>
              </w:rPr>
              <w:fldChar w:fldCharType="separate"/>
            </w:r>
            <w:r w:rsidR="00965DE2">
              <w:rPr>
                <w:noProof/>
                <w:webHidden/>
              </w:rPr>
              <w:t>7</w:t>
            </w:r>
            <w:r w:rsidR="00965DE2">
              <w:rPr>
                <w:noProof/>
                <w:webHidden/>
              </w:rPr>
              <w:fldChar w:fldCharType="end"/>
            </w:r>
          </w:hyperlink>
        </w:p>
        <w:p w14:paraId="23CE1D6A" w14:textId="1C4FFEF8" w:rsidR="00965DE2" w:rsidRDefault="00F42DD8">
          <w:pPr>
            <w:pStyle w:val="TOC3"/>
            <w:tabs>
              <w:tab w:val="left" w:pos="1100"/>
              <w:tab w:val="right" w:leader="dot" w:pos="9060"/>
            </w:tabs>
            <w:rPr>
              <w:rFonts w:eastAsiaTheme="minorEastAsia" w:cstheme="minorBidi"/>
              <w:i w:val="0"/>
              <w:iCs w:val="0"/>
              <w:noProof/>
              <w:sz w:val="22"/>
              <w:szCs w:val="22"/>
              <w:lang w:eastAsia="en-GB" w:bidi="ar-SA"/>
            </w:rPr>
          </w:pPr>
          <w:hyperlink w:anchor="_Toc72673549" w:history="1">
            <w:r w:rsidR="00965DE2" w:rsidRPr="007C740D">
              <w:rPr>
                <w:rStyle w:val="Hyperlink"/>
                <w:noProof/>
              </w:rPr>
              <w:t>1.3.3</w:t>
            </w:r>
            <w:r w:rsidR="00965DE2">
              <w:rPr>
                <w:rFonts w:eastAsiaTheme="minorEastAsia" w:cstheme="minorBidi"/>
                <w:i w:val="0"/>
                <w:iCs w:val="0"/>
                <w:noProof/>
                <w:sz w:val="22"/>
                <w:szCs w:val="22"/>
                <w:lang w:eastAsia="en-GB" w:bidi="ar-SA"/>
              </w:rPr>
              <w:tab/>
            </w:r>
            <w:r w:rsidR="00965DE2" w:rsidRPr="007C740D">
              <w:rPr>
                <w:rStyle w:val="Hyperlink"/>
                <w:noProof/>
              </w:rPr>
              <w:t>Standard 1.2.1</w:t>
            </w:r>
            <w:r w:rsidR="00965DE2">
              <w:rPr>
                <w:noProof/>
                <w:webHidden/>
              </w:rPr>
              <w:tab/>
            </w:r>
            <w:r w:rsidR="00965DE2">
              <w:rPr>
                <w:noProof/>
                <w:webHidden/>
              </w:rPr>
              <w:fldChar w:fldCharType="begin"/>
            </w:r>
            <w:r w:rsidR="00965DE2">
              <w:rPr>
                <w:noProof/>
                <w:webHidden/>
              </w:rPr>
              <w:instrText xml:space="preserve"> PAGEREF _Toc72673549 \h </w:instrText>
            </w:r>
            <w:r w:rsidR="00965DE2">
              <w:rPr>
                <w:noProof/>
                <w:webHidden/>
              </w:rPr>
            </w:r>
            <w:r w:rsidR="00965DE2">
              <w:rPr>
                <w:noProof/>
                <w:webHidden/>
              </w:rPr>
              <w:fldChar w:fldCharType="separate"/>
            </w:r>
            <w:r w:rsidR="00965DE2">
              <w:rPr>
                <w:noProof/>
                <w:webHidden/>
              </w:rPr>
              <w:t>7</w:t>
            </w:r>
            <w:r w:rsidR="00965DE2">
              <w:rPr>
                <w:noProof/>
                <w:webHidden/>
              </w:rPr>
              <w:fldChar w:fldCharType="end"/>
            </w:r>
          </w:hyperlink>
        </w:p>
        <w:p w14:paraId="354B2B59" w14:textId="5AB57BFA" w:rsidR="00965DE2" w:rsidRDefault="00F42DD8">
          <w:pPr>
            <w:pStyle w:val="TOC3"/>
            <w:tabs>
              <w:tab w:val="left" w:pos="1100"/>
              <w:tab w:val="right" w:leader="dot" w:pos="9060"/>
            </w:tabs>
            <w:rPr>
              <w:rFonts w:eastAsiaTheme="minorEastAsia" w:cstheme="minorBidi"/>
              <w:i w:val="0"/>
              <w:iCs w:val="0"/>
              <w:noProof/>
              <w:sz w:val="22"/>
              <w:szCs w:val="22"/>
              <w:lang w:eastAsia="en-GB" w:bidi="ar-SA"/>
            </w:rPr>
          </w:pPr>
          <w:hyperlink w:anchor="_Toc72673550" w:history="1">
            <w:r w:rsidR="00965DE2" w:rsidRPr="007C740D">
              <w:rPr>
                <w:rStyle w:val="Hyperlink"/>
                <w:noProof/>
              </w:rPr>
              <w:t>1.3.4</w:t>
            </w:r>
            <w:r w:rsidR="00965DE2">
              <w:rPr>
                <w:rFonts w:eastAsiaTheme="minorEastAsia" w:cstheme="minorBidi"/>
                <w:i w:val="0"/>
                <w:iCs w:val="0"/>
                <w:noProof/>
                <w:sz w:val="22"/>
                <w:szCs w:val="22"/>
                <w:lang w:eastAsia="en-GB" w:bidi="ar-SA"/>
              </w:rPr>
              <w:tab/>
            </w:r>
            <w:r w:rsidR="00965DE2" w:rsidRPr="007C740D">
              <w:rPr>
                <w:rStyle w:val="Hyperlink"/>
                <w:noProof/>
              </w:rPr>
              <w:t>Standard 1.2.2</w:t>
            </w:r>
            <w:r w:rsidR="00965DE2">
              <w:rPr>
                <w:noProof/>
                <w:webHidden/>
              </w:rPr>
              <w:tab/>
            </w:r>
            <w:r w:rsidR="00965DE2">
              <w:rPr>
                <w:noProof/>
                <w:webHidden/>
              </w:rPr>
              <w:fldChar w:fldCharType="begin"/>
            </w:r>
            <w:r w:rsidR="00965DE2">
              <w:rPr>
                <w:noProof/>
                <w:webHidden/>
              </w:rPr>
              <w:instrText xml:space="preserve"> PAGEREF _Toc72673550 \h </w:instrText>
            </w:r>
            <w:r w:rsidR="00965DE2">
              <w:rPr>
                <w:noProof/>
                <w:webHidden/>
              </w:rPr>
            </w:r>
            <w:r w:rsidR="00965DE2">
              <w:rPr>
                <w:noProof/>
                <w:webHidden/>
              </w:rPr>
              <w:fldChar w:fldCharType="separate"/>
            </w:r>
            <w:r w:rsidR="00965DE2">
              <w:rPr>
                <w:noProof/>
                <w:webHidden/>
              </w:rPr>
              <w:t>8</w:t>
            </w:r>
            <w:r w:rsidR="00965DE2">
              <w:rPr>
                <w:noProof/>
                <w:webHidden/>
              </w:rPr>
              <w:fldChar w:fldCharType="end"/>
            </w:r>
          </w:hyperlink>
        </w:p>
        <w:p w14:paraId="1FCAC5E2" w14:textId="62226A9D" w:rsidR="00965DE2" w:rsidRDefault="00F42DD8">
          <w:pPr>
            <w:pStyle w:val="TOC2"/>
            <w:tabs>
              <w:tab w:val="left" w:pos="880"/>
              <w:tab w:val="right" w:leader="dot" w:pos="9060"/>
            </w:tabs>
            <w:rPr>
              <w:rFonts w:eastAsiaTheme="minorEastAsia" w:cstheme="minorBidi"/>
              <w:smallCaps w:val="0"/>
              <w:noProof/>
              <w:sz w:val="22"/>
              <w:szCs w:val="22"/>
              <w:lang w:eastAsia="en-GB" w:bidi="ar-SA"/>
            </w:rPr>
          </w:pPr>
          <w:hyperlink w:anchor="_Toc72673551" w:history="1">
            <w:r w:rsidR="00965DE2" w:rsidRPr="007C740D">
              <w:rPr>
                <w:rStyle w:val="Hyperlink"/>
                <w:noProof/>
              </w:rPr>
              <w:t>1.4</w:t>
            </w:r>
            <w:r w:rsidR="00965DE2">
              <w:rPr>
                <w:rFonts w:eastAsiaTheme="minorEastAsia" w:cstheme="minorBidi"/>
                <w:smallCaps w:val="0"/>
                <w:noProof/>
                <w:sz w:val="22"/>
                <w:szCs w:val="22"/>
                <w:lang w:eastAsia="en-GB" w:bidi="ar-SA"/>
              </w:rPr>
              <w:tab/>
            </w:r>
            <w:r w:rsidR="00965DE2" w:rsidRPr="007C740D">
              <w:rPr>
                <w:rStyle w:val="Hyperlink"/>
                <w:noProof/>
              </w:rPr>
              <w:t>International regulations</w:t>
            </w:r>
            <w:r w:rsidR="00965DE2">
              <w:rPr>
                <w:noProof/>
                <w:webHidden/>
              </w:rPr>
              <w:tab/>
            </w:r>
            <w:r w:rsidR="00965DE2">
              <w:rPr>
                <w:noProof/>
                <w:webHidden/>
              </w:rPr>
              <w:fldChar w:fldCharType="begin"/>
            </w:r>
            <w:r w:rsidR="00965DE2">
              <w:rPr>
                <w:noProof/>
                <w:webHidden/>
              </w:rPr>
              <w:instrText xml:space="preserve"> PAGEREF _Toc72673551 \h </w:instrText>
            </w:r>
            <w:r w:rsidR="00965DE2">
              <w:rPr>
                <w:noProof/>
                <w:webHidden/>
              </w:rPr>
            </w:r>
            <w:r w:rsidR="00965DE2">
              <w:rPr>
                <w:noProof/>
                <w:webHidden/>
              </w:rPr>
              <w:fldChar w:fldCharType="separate"/>
            </w:r>
            <w:r w:rsidR="00965DE2">
              <w:rPr>
                <w:noProof/>
                <w:webHidden/>
              </w:rPr>
              <w:t>8</w:t>
            </w:r>
            <w:r w:rsidR="00965DE2">
              <w:rPr>
                <w:noProof/>
                <w:webHidden/>
              </w:rPr>
              <w:fldChar w:fldCharType="end"/>
            </w:r>
          </w:hyperlink>
        </w:p>
        <w:p w14:paraId="41162CB1" w14:textId="07491B00" w:rsidR="00965DE2" w:rsidRDefault="00F42DD8">
          <w:pPr>
            <w:pStyle w:val="TOC2"/>
            <w:tabs>
              <w:tab w:val="left" w:pos="880"/>
              <w:tab w:val="right" w:leader="dot" w:pos="9060"/>
            </w:tabs>
            <w:rPr>
              <w:rFonts w:eastAsiaTheme="minorEastAsia" w:cstheme="minorBidi"/>
              <w:smallCaps w:val="0"/>
              <w:noProof/>
              <w:sz w:val="22"/>
              <w:szCs w:val="22"/>
              <w:lang w:eastAsia="en-GB" w:bidi="ar-SA"/>
            </w:rPr>
          </w:pPr>
          <w:hyperlink w:anchor="_Toc72673552" w:history="1">
            <w:r w:rsidR="00965DE2" w:rsidRPr="007C740D">
              <w:rPr>
                <w:rStyle w:val="Hyperlink"/>
                <w:noProof/>
              </w:rPr>
              <w:t>1.5</w:t>
            </w:r>
            <w:r w:rsidR="00965DE2">
              <w:rPr>
                <w:rFonts w:eastAsiaTheme="minorEastAsia" w:cstheme="minorBidi"/>
                <w:smallCaps w:val="0"/>
                <w:noProof/>
                <w:sz w:val="22"/>
                <w:szCs w:val="22"/>
                <w:lang w:eastAsia="en-GB" w:bidi="ar-SA"/>
              </w:rPr>
              <w:tab/>
            </w:r>
            <w:r w:rsidR="00965DE2" w:rsidRPr="007C740D">
              <w:rPr>
                <w:rStyle w:val="Hyperlink"/>
                <w:noProof/>
              </w:rPr>
              <w:t>Electrolyte drink consumption</w:t>
            </w:r>
            <w:r w:rsidR="00965DE2">
              <w:rPr>
                <w:noProof/>
                <w:webHidden/>
              </w:rPr>
              <w:tab/>
            </w:r>
            <w:r w:rsidR="00965DE2">
              <w:rPr>
                <w:noProof/>
                <w:webHidden/>
              </w:rPr>
              <w:fldChar w:fldCharType="begin"/>
            </w:r>
            <w:r w:rsidR="00965DE2">
              <w:rPr>
                <w:noProof/>
                <w:webHidden/>
              </w:rPr>
              <w:instrText xml:space="preserve"> PAGEREF _Toc72673552 \h </w:instrText>
            </w:r>
            <w:r w:rsidR="00965DE2">
              <w:rPr>
                <w:noProof/>
                <w:webHidden/>
              </w:rPr>
            </w:r>
            <w:r w:rsidR="00965DE2">
              <w:rPr>
                <w:noProof/>
                <w:webHidden/>
              </w:rPr>
              <w:fldChar w:fldCharType="separate"/>
            </w:r>
            <w:r w:rsidR="00965DE2">
              <w:rPr>
                <w:noProof/>
                <w:webHidden/>
              </w:rPr>
              <w:t>8</w:t>
            </w:r>
            <w:r w:rsidR="00965DE2">
              <w:rPr>
                <w:noProof/>
                <w:webHidden/>
              </w:rPr>
              <w:fldChar w:fldCharType="end"/>
            </w:r>
          </w:hyperlink>
        </w:p>
        <w:p w14:paraId="0ABD67FB" w14:textId="7205A63C" w:rsidR="00965DE2" w:rsidRDefault="00F42DD8">
          <w:pPr>
            <w:pStyle w:val="TOC3"/>
            <w:tabs>
              <w:tab w:val="left" w:pos="1100"/>
              <w:tab w:val="right" w:leader="dot" w:pos="9060"/>
            </w:tabs>
            <w:rPr>
              <w:rFonts w:eastAsiaTheme="minorEastAsia" w:cstheme="minorBidi"/>
              <w:i w:val="0"/>
              <w:iCs w:val="0"/>
              <w:noProof/>
              <w:sz w:val="22"/>
              <w:szCs w:val="22"/>
              <w:lang w:eastAsia="en-GB" w:bidi="ar-SA"/>
            </w:rPr>
          </w:pPr>
          <w:hyperlink w:anchor="_Toc72673553" w:history="1">
            <w:r w:rsidR="00965DE2" w:rsidRPr="007C740D">
              <w:rPr>
                <w:rStyle w:val="Hyperlink"/>
                <w:noProof/>
              </w:rPr>
              <w:t>1.5.1</w:t>
            </w:r>
            <w:r w:rsidR="00965DE2">
              <w:rPr>
                <w:rFonts w:eastAsiaTheme="minorEastAsia" w:cstheme="minorBidi"/>
                <w:i w:val="0"/>
                <w:iCs w:val="0"/>
                <w:noProof/>
                <w:sz w:val="22"/>
                <w:szCs w:val="22"/>
                <w:lang w:eastAsia="en-GB" w:bidi="ar-SA"/>
              </w:rPr>
              <w:tab/>
            </w:r>
            <w:r w:rsidR="00965DE2" w:rsidRPr="007C740D">
              <w:rPr>
                <w:rStyle w:val="Hyperlink"/>
                <w:noProof/>
              </w:rPr>
              <w:t>Australia</w:t>
            </w:r>
            <w:r w:rsidR="00965DE2">
              <w:rPr>
                <w:noProof/>
                <w:webHidden/>
              </w:rPr>
              <w:tab/>
            </w:r>
            <w:r w:rsidR="00965DE2">
              <w:rPr>
                <w:noProof/>
                <w:webHidden/>
              </w:rPr>
              <w:fldChar w:fldCharType="begin"/>
            </w:r>
            <w:r w:rsidR="00965DE2">
              <w:rPr>
                <w:noProof/>
                <w:webHidden/>
              </w:rPr>
              <w:instrText xml:space="preserve"> PAGEREF _Toc72673553 \h </w:instrText>
            </w:r>
            <w:r w:rsidR="00965DE2">
              <w:rPr>
                <w:noProof/>
                <w:webHidden/>
              </w:rPr>
            </w:r>
            <w:r w:rsidR="00965DE2">
              <w:rPr>
                <w:noProof/>
                <w:webHidden/>
              </w:rPr>
              <w:fldChar w:fldCharType="separate"/>
            </w:r>
            <w:r w:rsidR="00965DE2">
              <w:rPr>
                <w:noProof/>
                <w:webHidden/>
              </w:rPr>
              <w:t>8</w:t>
            </w:r>
            <w:r w:rsidR="00965DE2">
              <w:rPr>
                <w:noProof/>
                <w:webHidden/>
              </w:rPr>
              <w:fldChar w:fldCharType="end"/>
            </w:r>
          </w:hyperlink>
        </w:p>
        <w:p w14:paraId="1F4ACE52" w14:textId="4511C642" w:rsidR="00965DE2" w:rsidRDefault="00F42DD8">
          <w:pPr>
            <w:pStyle w:val="TOC3"/>
            <w:tabs>
              <w:tab w:val="left" w:pos="1100"/>
              <w:tab w:val="right" w:leader="dot" w:pos="9060"/>
            </w:tabs>
            <w:rPr>
              <w:rFonts w:eastAsiaTheme="minorEastAsia" w:cstheme="minorBidi"/>
              <w:i w:val="0"/>
              <w:iCs w:val="0"/>
              <w:noProof/>
              <w:sz w:val="22"/>
              <w:szCs w:val="22"/>
              <w:lang w:eastAsia="en-GB" w:bidi="ar-SA"/>
            </w:rPr>
          </w:pPr>
          <w:hyperlink w:anchor="_Toc72673554" w:history="1">
            <w:r w:rsidR="00965DE2" w:rsidRPr="007C740D">
              <w:rPr>
                <w:rStyle w:val="Hyperlink"/>
                <w:noProof/>
              </w:rPr>
              <w:t>1.5.2</w:t>
            </w:r>
            <w:r w:rsidR="00965DE2">
              <w:rPr>
                <w:rFonts w:eastAsiaTheme="minorEastAsia" w:cstheme="minorBidi"/>
                <w:i w:val="0"/>
                <w:iCs w:val="0"/>
                <w:noProof/>
                <w:sz w:val="22"/>
                <w:szCs w:val="22"/>
                <w:lang w:eastAsia="en-GB" w:bidi="ar-SA"/>
              </w:rPr>
              <w:tab/>
            </w:r>
            <w:r w:rsidR="00965DE2" w:rsidRPr="007C740D">
              <w:rPr>
                <w:rStyle w:val="Hyperlink"/>
                <w:noProof/>
              </w:rPr>
              <w:t>New Zealand</w:t>
            </w:r>
            <w:r w:rsidR="00965DE2">
              <w:rPr>
                <w:noProof/>
                <w:webHidden/>
              </w:rPr>
              <w:tab/>
            </w:r>
            <w:r w:rsidR="00965DE2">
              <w:rPr>
                <w:noProof/>
                <w:webHidden/>
              </w:rPr>
              <w:fldChar w:fldCharType="begin"/>
            </w:r>
            <w:r w:rsidR="00965DE2">
              <w:rPr>
                <w:noProof/>
                <w:webHidden/>
              </w:rPr>
              <w:instrText xml:space="preserve"> PAGEREF _Toc72673554 \h </w:instrText>
            </w:r>
            <w:r w:rsidR="00965DE2">
              <w:rPr>
                <w:noProof/>
                <w:webHidden/>
              </w:rPr>
            </w:r>
            <w:r w:rsidR="00965DE2">
              <w:rPr>
                <w:noProof/>
                <w:webHidden/>
              </w:rPr>
              <w:fldChar w:fldCharType="separate"/>
            </w:r>
            <w:r w:rsidR="00965DE2">
              <w:rPr>
                <w:noProof/>
                <w:webHidden/>
              </w:rPr>
              <w:t>9</w:t>
            </w:r>
            <w:r w:rsidR="00965DE2">
              <w:rPr>
                <w:noProof/>
                <w:webHidden/>
              </w:rPr>
              <w:fldChar w:fldCharType="end"/>
            </w:r>
          </w:hyperlink>
        </w:p>
        <w:p w14:paraId="13D9D3DE" w14:textId="0EFD3DE6" w:rsidR="00965DE2" w:rsidRDefault="00F42DD8">
          <w:pPr>
            <w:pStyle w:val="TOC2"/>
            <w:tabs>
              <w:tab w:val="left" w:pos="880"/>
              <w:tab w:val="right" w:leader="dot" w:pos="9060"/>
            </w:tabs>
            <w:rPr>
              <w:rFonts w:eastAsiaTheme="minorEastAsia" w:cstheme="minorBidi"/>
              <w:smallCaps w:val="0"/>
              <w:noProof/>
              <w:sz w:val="22"/>
              <w:szCs w:val="22"/>
              <w:lang w:eastAsia="en-GB" w:bidi="ar-SA"/>
            </w:rPr>
          </w:pPr>
          <w:hyperlink w:anchor="_Toc72673555" w:history="1">
            <w:r w:rsidR="00965DE2" w:rsidRPr="007C740D">
              <w:rPr>
                <w:rStyle w:val="Hyperlink"/>
                <w:noProof/>
              </w:rPr>
              <w:t>1.6</w:t>
            </w:r>
            <w:r w:rsidR="00965DE2">
              <w:rPr>
                <w:rFonts w:eastAsiaTheme="minorEastAsia" w:cstheme="minorBidi"/>
                <w:smallCaps w:val="0"/>
                <w:noProof/>
                <w:sz w:val="22"/>
                <w:szCs w:val="22"/>
                <w:lang w:eastAsia="en-GB" w:bidi="ar-SA"/>
              </w:rPr>
              <w:tab/>
            </w:r>
            <w:r w:rsidR="00965DE2" w:rsidRPr="007C740D">
              <w:rPr>
                <w:rStyle w:val="Hyperlink"/>
                <w:noProof/>
              </w:rPr>
              <w:t>Electrolyte drink consumer research</w:t>
            </w:r>
            <w:r w:rsidR="00965DE2">
              <w:rPr>
                <w:noProof/>
                <w:webHidden/>
              </w:rPr>
              <w:tab/>
            </w:r>
            <w:r w:rsidR="00965DE2">
              <w:rPr>
                <w:noProof/>
                <w:webHidden/>
              </w:rPr>
              <w:fldChar w:fldCharType="begin"/>
            </w:r>
            <w:r w:rsidR="00965DE2">
              <w:rPr>
                <w:noProof/>
                <w:webHidden/>
              </w:rPr>
              <w:instrText xml:space="preserve"> PAGEREF _Toc72673555 \h </w:instrText>
            </w:r>
            <w:r w:rsidR="00965DE2">
              <w:rPr>
                <w:noProof/>
                <w:webHidden/>
              </w:rPr>
            </w:r>
            <w:r w:rsidR="00965DE2">
              <w:rPr>
                <w:noProof/>
                <w:webHidden/>
              </w:rPr>
              <w:fldChar w:fldCharType="separate"/>
            </w:r>
            <w:r w:rsidR="00965DE2">
              <w:rPr>
                <w:noProof/>
                <w:webHidden/>
              </w:rPr>
              <w:t>9</w:t>
            </w:r>
            <w:r w:rsidR="00965DE2">
              <w:rPr>
                <w:noProof/>
                <w:webHidden/>
              </w:rPr>
              <w:fldChar w:fldCharType="end"/>
            </w:r>
          </w:hyperlink>
        </w:p>
        <w:p w14:paraId="26A1A858" w14:textId="4FB5D3F5" w:rsidR="00965DE2" w:rsidRDefault="00F42DD8">
          <w:pPr>
            <w:pStyle w:val="TOC2"/>
            <w:tabs>
              <w:tab w:val="left" w:pos="880"/>
              <w:tab w:val="right" w:leader="dot" w:pos="9060"/>
            </w:tabs>
            <w:rPr>
              <w:rFonts w:eastAsiaTheme="minorEastAsia" w:cstheme="minorBidi"/>
              <w:smallCaps w:val="0"/>
              <w:noProof/>
              <w:sz w:val="22"/>
              <w:szCs w:val="22"/>
              <w:lang w:eastAsia="en-GB" w:bidi="ar-SA"/>
            </w:rPr>
          </w:pPr>
          <w:hyperlink w:anchor="_Toc72673556" w:history="1">
            <w:r w:rsidR="00965DE2" w:rsidRPr="007C740D">
              <w:rPr>
                <w:rStyle w:val="Hyperlink"/>
                <w:noProof/>
              </w:rPr>
              <w:t>1.7</w:t>
            </w:r>
            <w:r w:rsidR="00965DE2">
              <w:rPr>
                <w:rFonts w:eastAsiaTheme="minorEastAsia" w:cstheme="minorBidi"/>
                <w:smallCaps w:val="0"/>
                <w:noProof/>
                <w:sz w:val="22"/>
                <w:szCs w:val="22"/>
                <w:lang w:eastAsia="en-GB" w:bidi="ar-SA"/>
              </w:rPr>
              <w:tab/>
            </w:r>
            <w:r w:rsidR="00965DE2" w:rsidRPr="007C740D">
              <w:rPr>
                <w:rStyle w:val="Hyperlink"/>
                <w:noProof/>
              </w:rPr>
              <w:t>Electrolyte drink market</w:t>
            </w:r>
            <w:r w:rsidR="00965DE2">
              <w:rPr>
                <w:noProof/>
                <w:webHidden/>
              </w:rPr>
              <w:tab/>
            </w:r>
            <w:r w:rsidR="00965DE2">
              <w:rPr>
                <w:noProof/>
                <w:webHidden/>
              </w:rPr>
              <w:fldChar w:fldCharType="begin"/>
            </w:r>
            <w:r w:rsidR="00965DE2">
              <w:rPr>
                <w:noProof/>
                <w:webHidden/>
              </w:rPr>
              <w:instrText xml:space="preserve"> PAGEREF _Toc72673556 \h </w:instrText>
            </w:r>
            <w:r w:rsidR="00965DE2">
              <w:rPr>
                <w:noProof/>
                <w:webHidden/>
              </w:rPr>
            </w:r>
            <w:r w:rsidR="00965DE2">
              <w:rPr>
                <w:noProof/>
                <w:webHidden/>
              </w:rPr>
              <w:fldChar w:fldCharType="separate"/>
            </w:r>
            <w:r w:rsidR="00965DE2">
              <w:rPr>
                <w:noProof/>
                <w:webHidden/>
              </w:rPr>
              <w:t>11</w:t>
            </w:r>
            <w:r w:rsidR="00965DE2">
              <w:rPr>
                <w:noProof/>
                <w:webHidden/>
              </w:rPr>
              <w:fldChar w:fldCharType="end"/>
            </w:r>
          </w:hyperlink>
        </w:p>
        <w:p w14:paraId="22C3F064" w14:textId="3A378880" w:rsidR="00965DE2" w:rsidRDefault="00F42DD8">
          <w:pPr>
            <w:pStyle w:val="TOC3"/>
            <w:tabs>
              <w:tab w:val="left" w:pos="1100"/>
              <w:tab w:val="right" w:leader="dot" w:pos="9060"/>
            </w:tabs>
            <w:rPr>
              <w:rFonts w:eastAsiaTheme="minorEastAsia" w:cstheme="minorBidi"/>
              <w:i w:val="0"/>
              <w:iCs w:val="0"/>
              <w:noProof/>
              <w:sz w:val="22"/>
              <w:szCs w:val="22"/>
              <w:lang w:eastAsia="en-GB" w:bidi="ar-SA"/>
            </w:rPr>
          </w:pPr>
          <w:hyperlink w:anchor="_Toc72673557" w:history="1">
            <w:r w:rsidR="00965DE2" w:rsidRPr="007C740D">
              <w:rPr>
                <w:rStyle w:val="Hyperlink"/>
                <w:noProof/>
              </w:rPr>
              <w:t>1.7.1</w:t>
            </w:r>
            <w:r w:rsidR="00965DE2">
              <w:rPr>
                <w:rFonts w:eastAsiaTheme="minorEastAsia" w:cstheme="minorBidi"/>
                <w:i w:val="0"/>
                <w:iCs w:val="0"/>
                <w:noProof/>
                <w:sz w:val="22"/>
                <w:szCs w:val="22"/>
                <w:lang w:eastAsia="en-GB" w:bidi="ar-SA"/>
              </w:rPr>
              <w:tab/>
            </w:r>
            <w:r w:rsidR="00965DE2" w:rsidRPr="007C740D">
              <w:rPr>
                <w:rStyle w:val="Hyperlink"/>
                <w:noProof/>
              </w:rPr>
              <w:t>Australia</w:t>
            </w:r>
            <w:r w:rsidR="00965DE2">
              <w:rPr>
                <w:noProof/>
                <w:webHidden/>
              </w:rPr>
              <w:tab/>
            </w:r>
            <w:r w:rsidR="00965DE2">
              <w:rPr>
                <w:noProof/>
                <w:webHidden/>
              </w:rPr>
              <w:fldChar w:fldCharType="begin"/>
            </w:r>
            <w:r w:rsidR="00965DE2">
              <w:rPr>
                <w:noProof/>
                <w:webHidden/>
              </w:rPr>
              <w:instrText xml:space="preserve"> PAGEREF _Toc72673557 \h </w:instrText>
            </w:r>
            <w:r w:rsidR="00965DE2">
              <w:rPr>
                <w:noProof/>
                <w:webHidden/>
              </w:rPr>
            </w:r>
            <w:r w:rsidR="00965DE2">
              <w:rPr>
                <w:noProof/>
                <w:webHidden/>
              </w:rPr>
              <w:fldChar w:fldCharType="separate"/>
            </w:r>
            <w:r w:rsidR="00965DE2">
              <w:rPr>
                <w:noProof/>
                <w:webHidden/>
              </w:rPr>
              <w:t>11</w:t>
            </w:r>
            <w:r w:rsidR="00965DE2">
              <w:rPr>
                <w:noProof/>
                <w:webHidden/>
              </w:rPr>
              <w:fldChar w:fldCharType="end"/>
            </w:r>
          </w:hyperlink>
        </w:p>
        <w:p w14:paraId="51E9FD8D" w14:textId="4E6D02F0" w:rsidR="00965DE2" w:rsidRDefault="00F42DD8">
          <w:pPr>
            <w:pStyle w:val="TOC3"/>
            <w:tabs>
              <w:tab w:val="left" w:pos="1100"/>
              <w:tab w:val="right" w:leader="dot" w:pos="9060"/>
            </w:tabs>
            <w:rPr>
              <w:rFonts w:eastAsiaTheme="minorEastAsia" w:cstheme="minorBidi"/>
              <w:i w:val="0"/>
              <w:iCs w:val="0"/>
              <w:noProof/>
              <w:sz w:val="22"/>
              <w:szCs w:val="22"/>
              <w:lang w:eastAsia="en-GB" w:bidi="ar-SA"/>
            </w:rPr>
          </w:pPr>
          <w:hyperlink w:anchor="_Toc72673558" w:history="1">
            <w:r w:rsidR="00965DE2" w:rsidRPr="007C740D">
              <w:rPr>
                <w:rStyle w:val="Hyperlink"/>
                <w:noProof/>
              </w:rPr>
              <w:t>1.7.2</w:t>
            </w:r>
            <w:r w:rsidR="00965DE2">
              <w:rPr>
                <w:rFonts w:eastAsiaTheme="minorEastAsia" w:cstheme="minorBidi"/>
                <w:i w:val="0"/>
                <w:iCs w:val="0"/>
                <w:noProof/>
                <w:sz w:val="22"/>
                <w:szCs w:val="22"/>
                <w:lang w:eastAsia="en-GB" w:bidi="ar-SA"/>
              </w:rPr>
              <w:tab/>
            </w:r>
            <w:r w:rsidR="00965DE2" w:rsidRPr="007C740D">
              <w:rPr>
                <w:rStyle w:val="Hyperlink"/>
                <w:noProof/>
              </w:rPr>
              <w:t>New Zealand</w:t>
            </w:r>
            <w:r w:rsidR="00965DE2">
              <w:rPr>
                <w:noProof/>
                <w:webHidden/>
              </w:rPr>
              <w:tab/>
            </w:r>
            <w:r w:rsidR="00965DE2">
              <w:rPr>
                <w:noProof/>
                <w:webHidden/>
              </w:rPr>
              <w:fldChar w:fldCharType="begin"/>
            </w:r>
            <w:r w:rsidR="00965DE2">
              <w:rPr>
                <w:noProof/>
                <w:webHidden/>
              </w:rPr>
              <w:instrText xml:space="preserve"> PAGEREF _Toc72673558 \h </w:instrText>
            </w:r>
            <w:r w:rsidR="00965DE2">
              <w:rPr>
                <w:noProof/>
                <w:webHidden/>
              </w:rPr>
            </w:r>
            <w:r w:rsidR="00965DE2">
              <w:rPr>
                <w:noProof/>
                <w:webHidden/>
              </w:rPr>
              <w:fldChar w:fldCharType="separate"/>
            </w:r>
            <w:r w:rsidR="00965DE2">
              <w:rPr>
                <w:noProof/>
                <w:webHidden/>
              </w:rPr>
              <w:t>11</w:t>
            </w:r>
            <w:r w:rsidR="00965DE2">
              <w:rPr>
                <w:noProof/>
                <w:webHidden/>
              </w:rPr>
              <w:fldChar w:fldCharType="end"/>
            </w:r>
          </w:hyperlink>
        </w:p>
        <w:p w14:paraId="18B0E02B" w14:textId="525BB45B" w:rsidR="00965DE2" w:rsidRDefault="00F42DD8">
          <w:pPr>
            <w:pStyle w:val="TOC2"/>
            <w:tabs>
              <w:tab w:val="left" w:pos="880"/>
              <w:tab w:val="right" w:leader="dot" w:pos="9060"/>
            </w:tabs>
            <w:rPr>
              <w:rFonts w:eastAsiaTheme="minorEastAsia" w:cstheme="minorBidi"/>
              <w:smallCaps w:val="0"/>
              <w:noProof/>
              <w:sz w:val="22"/>
              <w:szCs w:val="22"/>
              <w:lang w:eastAsia="en-GB" w:bidi="ar-SA"/>
            </w:rPr>
          </w:pPr>
          <w:hyperlink w:anchor="_Toc72673559" w:history="1">
            <w:r w:rsidR="00965DE2" w:rsidRPr="007C740D">
              <w:rPr>
                <w:rStyle w:val="Hyperlink"/>
                <w:noProof/>
              </w:rPr>
              <w:t>1.8</w:t>
            </w:r>
            <w:r w:rsidR="00965DE2">
              <w:rPr>
                <w:rFonts w:eastAsiaTheme="minorEastAsia" w:cstheme="minorBidi"/>
                <w:smallCaps w:val="0"/>
                <w:noProof/>
                <w:sz w:val="22"/>
                <w:szCs w:val="22"/>
                <w:lang w:eastAsia="en-GB" w:bidi="ar-SA"/>
              </w:rPr>
              <w:tab/>
            </w:r>
            <w:r w:rsidR="00965DE2" w:rsidRPr="007C740D">
              <w:rPr>
                <w:rStyle w:val="Hyperlink"/>
                <w:noProof/>
              </w:rPr>
              <w:t>Procedure for assessment</w:t>
            </w:r>
            <w:r w:rsidR="00965DE2">
              <w:rPr>
                <w:noProof/>
                <w:webHidden/>
              </w:rPr>
              <w:tab/>
            </w:r>
            <w:r w:rsidR="00965DE2">
              <w:rPr>
                <w:noProof/>
                <w:webHidden/>
              </w:rPr>
              <w:fldChar w:fldCharType="begin"/>
            </w:r>
            <w:r w:rsidR="00965DE2">
              <w:rPr>
                <w:noProof/>
                <w:webHidden/>
              </w:rPr>
              <w:instrText xml:space="preserve"> PAGEREF _Toc72673559 \h </w:instrText>
            </w:r>
            <w:r w:rsidR="00965DE2">
              <w:rPr>
                <w:noProof/>
                <w:webHidden/>
              </w:rPr>
            </w:r>
            <w:r w:rsidR="00965DE2">
              <w:rPr>
                <w:noProof/>
                <w:webHidden/>
              </w:rPr>
              <w:fldChar w:fldCharType="separate"/>
            </w:r>
            <w:r w:rsidR="00965DE2">
              <w:rPr>
                <w:noProof/>
                <w:webHidden/>
              </w:rPr>
              <w:t>12</w:t>
            </w:r>
            <w:r w:rsidR="00965DE2">
              <w:rPr>
                <w:noProof/>
                <w:webHidden/>
              </w:rPr>
              <w:fldChar w:fldCharType="end"/>
            </w:r>
          </w:hyperlink>
        </w:p>
        <w:p w14:paraId="54949235" w14:textId="45A87DEE" w:rsidR="00965DE2" w:rsidRDefault="00F42DD8">
          <w:pPr>
            <w:pStyle w:val="TOC1"/>
            <w:tabs>
              <w:tab w:val="left" w:pos="440"/>
              <w:tab w:val="right" w:leader="dot" w:pos="9060"/>
            </w:tabs>
            <w:rPr>
              <w:rFonts w:eastAsiaTheme="minorEastAsia" w:cstheme="minorBidi"/>
              <w:b w:val="0"/>
              <w:bCs w:val="0"/>
              <w:caps w:val="0"/>
              <w:noProof/>
              <w:sz w:val="22"/>
              <w:szCs w:val="22"/>
              <w:lang w:eastAsia="en-GB" w:bidi="ar-SA"/>
            </w:rPr>
          </w:pPr>
          <w:hyperlink w:anchor="_Toc72673560" w:history="1">
            <w:r w:rsidR="00965DE2" w:rsidRPr="007C740D">
              <w:rPr>
                <w:rStyle w:val="Hyperlink"/>
                <w:noProof/>
              </w:rPr>
              <w:t>2</w:t>
            </w:r>
            <w:r w:rsidR="00965DE2">
              <w:rPr>
                <w:rFonts w:eastAsiaTheme="minorEastAsia" w:cstheme="minorBidi"/>
                <w:b w:val="0"/>
                <w:bCs w:val="0"/>
                <w:caps w:val="0"/>
                <w:noProof/>
                <w:sz w:val="22"/>
                <w:szCs w:val="22"/>
                <w:lang w:eastAsia="en-GB" w:bidi="ar-SA"/>
              </w:rPr>
              <w:tab/>
            </w:r>
            <w:r w:rsidR="00965DE2" w:rsidRPr="007C740D">
              <w:rPr>
                <w:rStyle w:val="Hyperlink"/>
                <w:noProof/>
              </w:rPr>
              <w:t>Summary of the assessment</w:t>
            </w:r>
            <w:r w:rsidR="00965DE2">
              <w:rPr>
                <w:noProof/>
                <w:webHidden/>
              </w:rPr>
              <w:tab/>
            </w:r>
            <w:r w:rsidR="00965DE2">
              <w:rPr>
                <w:noProof/>
                <w:webHidden/>
              </w:rPr>
              <w:fldChar w:fldCharType="begin"/>
            </w:r>
            <w:r w:rsidR="00965DE2">
              <w:rPr>
                <w:noProof/>
                <w:webHidden/>
              </w:rPr>
              <w:instrText xml:space="preserve"> PAGEREF _Toc72673560 \h </w:instrText>
            </w:r>
            <w:r w:rsidR="00965DE2">
              <w:rPr>
                <w:noProof/>
                <w:webHidden/>
              </w:rPr>
            </w:r>
            <w:r w:rsidR="00965DE2">
              <w:rPr>
                <w:noProof/>
                <w:webHidden/>
              </w:rPr>
              <w:fldChar w:fldCharType="separate"/>
            </w:r>
            <w:r w:rsidR="00965DE2">
              <w:rPr>
                <w:noProof/>
                <w:webHidden/>
              </w:rPr>
              <w:t>12</w:t>
            </w:r>
            <w:r w:rsidR="00965DE2">
              <w:rPr>
                <w:noProof/>
                <w:webHidden/>
              </w:rPr>
              <w:fldChar w:fldCharType="end"/>
            </w:r>
          </w:hyperlink>
        </w:p>
        <w:p w14:paraId="62B9EB1F" w14:textId="2642B083" w:rsidR="00965DE2" w:rsidRDefault="00F42DD8">
          <w:pPr>
            <w:pStyle w:val="TOC2"/>
            <w:tabs>
              <w:tab w:val="left" w:pos="880"/>
              <w:tab w:val="right" w:leader="dot" w:pos="9060"/>
            </w:tabs>
            <w:rPr>
              <w:rFonts w:eastAsiaTheme="minorEastAsia" w:cstheme="minorBidi"/>
              <w:smallCaps w:val="0"/>
              <w:noProof/>
              <w:sz w:val="22"/>
              <w:szCs w:val="22"/>
              <w:lang w:eastAsia="en-GB" w:bidi="ar-SA"/>
            </w:rPr>
          </w:pPr>
          <w:hyperlink w:anchor="_Toc72673561" w:history="1">
            <w:r w:rsidR="00965DE2" w:rsidRPr="007C740D">
              <w:rPr>
                <w:rStyle w:val="Hyperlink"/>
                <w:noProof/>
              </w:rPr>
              <w:t>2.1</w:t>
            </w:r>
            <w:r w:rsidR="00965DE2">
              <w:rPr>
                <w:rFonts w:eastAsiaTheme="minorEastAsia" w:cstheme="minorBidi"/>
                <w:smallCaps w:val="0"/>
                <w:noProof/>
                <w:sz w:val="22"/>
                <w:szCs w:val="22"/>
                <w:lang w:eastAsia="en-GB" w:bidi="ar-SA"/>
              </w:rPr>
              <w:tab/>
            </w:r>
            <w:r w:rsidR="00965DE2" w:rsidRPr="007C740D">
              <w:rPr>
                <w:rStyle w:val="Hyperlink"/>
                <w:noProof/>
              </w:rPr>
              <w:t>Summary of issues raised in 2014 submissions</w:t>
            </w:r>
            <w:r w:rsidR="00965DE2">
              <w:rPr>
                <w:noProof/>
                <w:webHidden/>
              </w:rPr>
              <w:tab/>
            </w:r>
            <w:r w:rsidR="00965DE2">
              <w:rPr>
                <w:noProof/>
                <w:webHidden/>
              </w:rPr>
              <w:fldChar w:fldCharType="begin"/>
            </w:r>
            <w:r w:rsidR="00965DE2">
              <w:rPr>
                <w:noProof/>
                <w:webHidden/>
              </w:rPr>
              <w:instrText xml:space="preserve"> PAGEREF _Toc72673561 \h </w:instrText>
            </w:r>
            <w:r w:rsidR="00965DE2">
              <w:rPr>
                <w:noProof/>
                <w:webHidden/>
              </w:rPr>
            </w:r>
            <w:r w:rsidR="00965DE2">
              <w:rPr>
                <w:noProof/>
                <w:webHidden/>
              </w:rPr>
              <w:fldChar w:fldCharType="separate"/>
            </w:r>
            <w:r w:rsidR="00965DE2">
              <w:rPr>
                <w:noProof/>
                <w:webHidden/>
              </w:rPr>
              <w:t>12</w:t>
            </w:r>
            <w:r w:rsidR="00965DE2">
              <w:rPr>
                <w:noProof/>
                <w:webHidden/>
              </w:rPr>
              <w:fldChar w:fldCharType="end"/>
            </w:r>
          </w:hyperlink>
        </w:p>
        <w:p w14:paraId="117DE55F" w14:textId="5FAF6180" w:rsidR="00965DE2" w:rsidRDefault="00F42DD8">
          <w:pPr>
            <w:pStyle w:val="TOC2"/>
            <w:tabs>
              <w:tab w:val="left" w:pos="880"/>
              <w:tab w:val="right" w:leader="dot" w:pos="9060"/>
            </w:tabs>
            <w:rPr>
              <w:rFonts w:eastAsiaTheme="minorEastAsia" w:cstheme="minorBidi"/>
              <w:smallCaps w:val="0"/>
              <w:noProof/>
              <w:sz w:val="22"/>
              <w:szCs w:val="22"/>
              <w:lang w:eastAsia="en-GB" w:bidi="ar-SA"/>
            </w:rPr>
          </w:pPr>
          <w:hyperlink w:anchor="_Toc72673562" w:history="1">
            <w:r w:rsidR="00965DE2" w:rsidRPr="007C740D">
              <w:rPr>
                <w:rStyle w:val="Hyperlink"/>
                <w:noProof/>
              </w:rPr>
              <w:t>2.2</w:t>
            </w:r>
            <w:r w:rsidR="00965DE2">
              <w:rPr>
                <w:rFonts w:eastAsiaTheme="minorEastAsia" w:cstheme="minorBidi"/>
                <w:smallCaps w:val="0"/>
                <w:noProof/>
                <w:sz w:val="22"/>
                <w:szCs w:val="22"/>
                <w:lang w:eastAsia="en-GB" w:bidi="ar-SA"/>
              </w:rPr>
              <w:tab/>
            </w:r>
            <w:r w:rsidR="00965DE2" w:rsidRPr="007C740D">
              <w:rPr>
                <w:rStyle w:val="Hyperlink"/>
                <w:noProof/>
              </w:rPr>
              <w:t>Risk assessment</w:t>
            </w:r>
            <w:r w:rsidR="00965DE2">
              <w:rPr>
                <w:noProof/>
                <w:webHidden/>
              </w:rPr>
              <w:tab/>
            </w:r>
            <w:r w:rsidR="00965DE2">
              <w:rPr>
                <w:noProof/>
                <w:webHidden/>
              </w:rPr>
              <w:fldChar w:fldCharType="begin"/>
            </w:r>
            <w:r w:rsidR="00965DE2">
              <w:rPr>
                <w:noProof/>
                <w:webHidden/>
              </w:rPr>
              <w:instrText xml:space="preserve"> PAGEREF _Toc72673562 \h </w:instrText>
            </w:r>
            <w:r w:rsidR="00965DE2">
              <w:rPr>
                <w:noProof/>
                <w:webHidden/>
              </w:rPr>
            </w:r>
            <w:r w:rsidR="00965DE2">
              <w:rPr>
                <w:noProof/>
                <w:webHidden/>
              </w:rPr>
              <w:fldChar w:fldCharType="separate"/>
            </w:r>
            <w:r w:rsidR="00965DE2">
              <w:rPr>
                <w:noProof/>
                <w:webHidden/>
              </w:rPr>
              <w:t>15</w:t>
            </w:r>
            <w:r w:rsidR="00965DE2">
              <w:rPr>
                <w:noProof/>
                <w:webHidden/>
              </w:rPr>
              <w:fldChar w:fldCharType="end"/>
            </w:r>
          </w:hyperlink>
        </w:p>
        <w:p w14:paraId="25D53093" w14:textId="40BDF86F" w:rsidR="00965DE2" w:rsidRDefault="00F42DD8">
          <w:pPr>
            <w:pStyle w:val="TOC3"/>
            <w:tabs>
              <w:tab w:val="left" w:pos="1100"/>
              <w:tab w:val="right" w:leader="dot" w:pos="9060"/>
            </w:tabs>
            <w:rPr>
              <w:rFonts w:eastAsiaTheme="minorEastAsia" w:cstheme="minorBidi"/>
              <w:i w:val="0"/>
              <w:iCs w:val="0"/>
              <w:noProof/>
              <w:sz w:val="22"/>
              <w:szCs w:val="22"/>
              <w:lang w:eastAsia="en-GB" w:bidi="ar-SA"/>
            </w:rPr>
          </w:pPr>
          <w:hyperlink w:anchor="_Toc72673563" w:history="1">
            <w:r w:rsidR="00965DE2" w:rsidRPr="007C740D">
              <w:rPr>
                <w:rStyle w:val="Hyperlink"/>
                <w:noProof/>
              </w:rPr>
              <w:t>2.2.1</w:t>
            </w:r>
            <w:r w:rsidR="00965DE2">
              <w:rPr>
                <w:rFonts w:eastAsiaTheme="minorEastAsia" w:cstheme="minorBidi"/>
                <w:i w:val="0"/>
                <w:iCs w:val="0"/>
                <w:noProof/>
                <w:sz w:val="22"/>
                <w:szCs w:val="22"/>
                <w:lang w:eastAsia="en-GB" w:bidi="ar-SA"/>
              </w:rPr>
              <w:tab/>
            </w:r>
            <w:r w:rsidR="00965DE2" w:rsidRPr="007C740D">
              <w:rPr>
                <w:rStyle w:val="Hyperlink"/>
                <w:noProof/>
              </w:rPr>
              <w:t>Carbohydrate Composition</w:t>
            </w:r>
            <w:r w:rsidR="00965DE2">
              <w:rPr>
                <w:noProof/>
                <w:webHidden/>
              </w:rPr>
              <w:tab/>
            </w:r>
            <w:r w:rsidR="00965DE2">
              <w:rPr>
                <w:noProof/>
                <w:webHidden/>
              </w:rPr>
              <w:fldChar w:fldCharType="begin"/>
            </w:r>
            <w:r w:rsidR="00965DE2">
              <w:rPr>
                <w:noProof/>
                <w:webHidden/>
              </w:rPr>
              <w:instrText xml:space="preserve"> PAGEREF _Toc72673563 \h </w:instrText>
            </w:r>
            <w:r w:rsidR="00965DE2">
              <w:rPr>
                <w:noProof/>
                <w:webHidden/>
              </w:rPr>
            </w:r>
            <w:r w:rsidR="00965DE2">
              <w:rPr>
                <w:noProof/>
                <w:webHidden/>
              </w:rPr>
              <w:fldChar w:fldCharType="separate"/>
            </w:r>
            <w:r w:rsidR="00965DE2">
              <w:rPr>
                <w:noProof/>
                <w:webHidden/>
              </w:rPr>
              <w:t>15</w:t>
            </w:r>
            <w:r w:rsidR="00965DE2">
              <w:rPr>
                <w:noProof/>
                <w:webHidden/>
              </w:rPr>
              <w:fldChar w:fldCharType="end"/>
            </w:r>
          </w:hyperlink>
        </w:p>
        <w:p w14:paraId="7EB540AE" w14:textId="3B0A46E9" w:rsidR="00965DE2" w:rsidRDefault="00F42DD8">
          <w:pPr>
            <w:pStyle w:val="TOC3"/>
            <w:tabs>
              <w:tab w:val="right" w:leader="dot" w:pos="9060"/>
            </w:tabs>
            <w:rPr>
              <w:rFonts w:eastAsiaTheme="minorEastAsia" w:cstheme="minorBidi"/>
              <w:i w:val="0"/>
              <w:iCs w:val="0"/>
              <w:noProof/>
              <w:sz w:val="22"/>
              <w:szCs w:val="22"/>
              <w:lang w:eastAsia="en-GB" w:bidi="ar-SA"/>
            </w:rPr>
          </w:pPr>
          <w:hyperlink w:anchor="_Toc72673564" w:history="1">
            <w:r w:rsidR="00965DE2" w:rsidRPr="007C740D">
              <w:rPr>
                <w:rStyle w:val="Hyperlink"/>
                <w:noProof/>
              </w:rPr>
              <w:t>2.2.2 Other issues</w:t>
            </w:r>
            <w:r w:rsidR="00965DE2">
              <w:rPr>
                <w:noProof/>
                <w:webHidden/>
              </w:rPr>
              <w:tab/>
            </w:r>
            <w:r w:rsidR="00965DE2">
              <w:rPr>
                <w:noProof/>
                <w:webHidden/>
              </w:rPr>
              <w:fldChar w:fldCharType="begin"/>
            </w:r>
            <w:r w:rsidR="00965DE2">
              <w:rPr>
                <w:noProof/>
                <w:webHidden/>
              </w:rPr>
              <w:instrText xml:space="preserve"> PAGEREF _Toc72673564 \h </w:instrText>
            </w:r>
            <w:r w:rsidR="00965DE2">
              <w:rPr>
                <w:noProof/>
                <w:webHidden/>
              </w:rPr>
            </w:r>
            <w:r w:rsidR="00965DE2">
              <w:rPr>
                <w:noProof/>
                <w:webHidden/>
              </w:rPr>
              <w:fldChar w:fldCharType="separate"/>
            </w:r>
            <w:r w:rsidR="00965DE2">
              <w:rPr>
                <w:noProof/>
                <w:webHidden/>
              </w:rPr>
              <w:t>15</w:t>
            </w:r>
            <w:r w:rsidR="00965DE2">
              <w:rPr>
                <w:noProof/>
                <w:webHidden/>
              </w:rPr>
              <w:fldChar w:fldCharType="end"/>
            </w:r>
          </w:hyperlink>
        </w:p>
        <w:p w14:paraId="0A7F45C8" w14:textId="3BAC61F4" w:rsidR="00965DE2" w:rsidRDefault="00F42DD8">
          <w:pPr>
            <w:pStyle w:val="TOC2"/>
            <w:tabs>
              <w:tab w:val="left" w:pos="880"/>
              <w:tab w:val="right" w:leader="dot" w:pos="9060"/>
            </w:tabs>
            <w:rPr>
              <w:rFonts w:eastAsiaTheme="minorEastAsia" w:cstheme="minorBidi"/>
              <w:smallCaps w:val="0"/>
              <w:noProof/>
              <w:sz w:val="22"/>
              <w:szCs w:val="22"/>
              <w:lang w:eastAsia="en-GB" w:bidi="ar-SA"/>
            </w:rPr>
          </w:pPr>
          <w:hyperlink w:anchor="_Toc72673565" w:history="1">
            <w:r w:rsidR="00965DE2" w:rsidRPr="007C740D">
              <w:rPr>
                <w:rStyle w:val="Hyperlink"/>
                <w:noProof/>
              </w:rPr>
              <w:t>2.3</w:t>
            </w:r>
            <w:r w:rsidR="00965DE2">
              <w:rPr>
                <w:rFonts w:eastAsiaTheme="minorEastAsia" w:cstheme="minorBidi"/>
                <w:smallCaps w:val="0"/>
                <w:noProof/>
                <w:sz w:val="22"/>
                <w:szCs w:val="22"/>
                <w:lang w:eastAsia="en-GB" w:bidi="ar-SA"/>
              </w:rPr>
              <w:tab/>
            </w:r>
            <w:r w:rsidR="00965DE2" w:rsidRPr="007C740D">
              <w:rPr>
                <w:rStyle w:val="Hyperlink"/>
                <w:noProof/>
              </w:rPr>
              <w:t>Risk management</w:t>
            </w:r>
            <w:r w:rsidR="00965DE2">
              <w:rPr>
                <w:noProof/>
                <w:webHidden/>
              </w:rPr>
              <w:tab/>
            </w:r>
            <w:r w:rsidR="00965DE2">
              <w:rPr>
                <w:noProof/>
                <w:webHidden/>
              </w:rPr>
              <w:fldChar w:fldCharType="begin"/>
            </w:r>
            <w:r w:rsidR="00965DE2">
              <w:rPr>
                <w:noProof/>
                <w:webHidden/>
              </w:rPr>
              <w:instrText xml:space="preserve"> PAGEREF _Toc72673565 \h </w:instrText>
            </w:r>
            <w:r w:rsidR="00965DE2">
              <w:rPr>
                <w:noProof/>
                <w:webHidden/>
              </w:rPr>
            </w:r>
            <w:r w:rsidR="00965DE2">
              <w:rPr>
                <w:noProof/>
                <w:webHidden/>
              </w:rPr>
              <w:fldChar w:fldCharType="separate"/>
            </w:r>
            <w:r w:rsidR="00965DE2">
              <w:rPr>
                <w:noProof/>
                <w:webHidden/>
              </w:rPr>
              <w:t>16</w:t>
            </w:r>
            <w:r w:rsidR="00965DE2">
              <w:rPr>
                <w:noProof/>
                <w:webHidden/>
              </w:rPr>
              <w:fldChar w:fldCharType="end"/>
            </w:r>
          </w:hyperlink>
        </w:p>
        <w:p w14:paraId="4FA4B2CB" w14:textId="15B7F54B" w:rsidR="00965DE2" w:rsidRDefault="00F42DD8">
          <w:pPr>
            <w:pStyle w:val="TOC3"/>
            <w:tabs>
              <w:tab w:val="left" w:pos="1100"/>
              <w:tab w:val="right" w:leader="dot" w:pos="9060"/>
            </w:tabs>
            <w:rPr>
              <w:rFonts w:eastAsiaTheme="minorEastAsia" w:cstheme="minorBidi"/>
              <w:i w:val="0"/>
              <w:iCs w:val="0"/>
              <w:noProof/>
              <w:sz w:val="22"/>
              <w:szCs w:val="22"/>
              <w:lang w:eastAsia="en-GB" w:bidi="ar-SA"/>
            </w:rPr>
          </w:pPr>
          <w:hyperlink w:anchor="_Toc72673566" w:history="1">
            <w:r w:rsidR="00965DE2" w:rsidRPr="007C740D">
              <w:rPr>
                <w:rStyle w:val="Hyperlink"/>
                <w:noProof/>
              </w:rPr>
              <w:t>2.3.1</w:t>
            </w:r>
            <w:r w:rsidR="00965DE2">
              <w:rPr>
                <w:rFonts w:eastAsiaTheme="minorEastAsia" w:cstheme="minorBidi"/>
                <w:i w:val="0"/>
                <w:iCs w:val="0"/>
                <w:noProof/>
                <w:sz w:val="22"/>
                <w:szCs w:val="22"/>
                <w:lang w:eastAsia="en-GB" w:bidi="ar-SA"/>
              </w:rPr>
              <w:tab/>
            </w:r>
            <w:r w:rsidR="00965DE2" w:rsidRPr="007C740D">
              <w:rPr>
                <w:rStyle w:val="Hyperlink"/>
                <w:noProof/>
              </w:rPr>
              <w:t>Proposed transfer to Standard 2.9.4</w:t>
            </w:r>
            <w:r w:rsidR="00965DE2">
              <w:rPr>
                <w:noProof/>
                <w:webHidden/>
              </w:rPr>
              <w:tab/>
            </w:r>
            <w:r w:rsidR="00965DE2">
              <w:rPr>
                <w:noProof/>
                <w:webHidden/>
              </w:rPr>
              <w:fldChar w:fldCharType="begin"/>
            </w:r>
            <w:r w:rsidR="00965DE2">
              <w:rPr>
                <w:noProof/>
                <w:webHidden/>
              </w:rPr>
              <w:instrText xml:space="preserve"> PAGEREF _Toc72673566 \h </w:instrText>
            </w:r>
            <w:r w:rsidR="00965DE2">
              <w:rPr>
                <w:noProof/>
                <w:webHidden/>
              </w:rPr>
            </w:r>
            <w:r w:rsidR="00965DE2">
              <w:rPr>
                <w:noProof/>
                <w:webHidden/>
              </w:rPr>
              <w:fldChar w:fldCharType="separate"/>
            </w:r>
            <w:r w:rsidR="00965DE2">
              <w:rPr>
                <w:noProof/>
                <w:webHidden/>
              </w:rPr>
              <w:t>16</w:t>
            </w:r>
            <w:r w:rsidR="00965DE2">
              <w:rPr>
                <w:noProof/>
                <w:webHidden/>
              </w:rPr>
              <w:fldChar w:fldCharType="end"/>
            </w:r>
          </w:hyperlink>
        </w:p>
        <w:p w14:paraId="7C6BE4DE" w14:textId="343C975C" w:rsidR="00965DE2" w:rsidRDefault="00F42DD8">
          <w:pPr>
            <w:pStyle w:val="TOC3"/>
            <w:tabs>
              <w:tab w:val="left" w:pos="1100"/>
              <w:tab w:val="right" w:leader="dot" w:pos="9060"/>
            </w:tabs>
            <w:rPr>
              <w:rFonts w:eastAsiaTheme="minorEastAsia" w:cstheme="minorBidi"/>
              <w:i w:val="0"/>
              <w:iCs w:val="0"/>
              <w:noProof/>
              <w:sz w:val="22"/>
              <w:szCs w:val="22"/>
              <w:lang w:eastAsia="en-GB" w:bidi="ar-SA"/>
            </w:rPr>
          </w:pPr>
          <w:hyperlink w:anchor="_Toc72673567" w:history="1">
            <w:r w:rsidR="00965DE2" w:rsidRPr="007C740D">
              <w:rPr>
                <w:rStyle w:val="Hyperlink"/>
                <w:noProof/>
              </w:rPr>
              <w:t>2.3.2</w:t>
            </w:r>
            <w:r w:rsidR="00965DE2">
              <w:rPr>
                <w:rFonts w:eastAsiaTheme="minorEastAsia" w:cstheme="minorBidi"/>
                <w:i w:val="0"/>
                <w:iCs w:val="0"/>
                <w:noProof/>
                <w:sz w:val="22"/>
                <w:szCs w:val="22"/>
                <w:lang w:eastAsia="en-GB" w:bidi="ar-SA"/>
              </w:rPr>
              <w:tab/>
            </w:r>
            <w:r w:rsidR="00965DE2" w:rsidRPr="007C740D">
              <w:rPr>
                <w:rStyle w:val="Hyperlink"/>
                <w:noProof/>
              </w:rPr>
              <w:t>Definition</w:t>
            </w:r>
            <w:r w:rsidR="00965DE2">
              <w:rPr>
                <w:noProof/>
                <w:webHidden/>
              </w:rPr>
              <w:tab/>
            </w:r>
            <w:r w:rsidR="00965DE2">
              <w:rPr>
                <w:noProof/>
                <w:webHidden/>
              </w:rPr>
              <w:fldChar w:fldCharType="begin"/>
            </w:r>
            <w:r w:rsidR="00965DE2">
              <w:rPr>
                <w:noProof/>
                <w:webHidden/>
              </w:rPr>
              <w:instrText xml:space="preserve"> PAGEREF _Toc72673567 \h </w:instrText>
            </w:r>
            <w:r w:rsidR="00965DE2">
              <w:rPr>
                <w:noProof/>
                <w:webHidden/>
              </w:rPr>
            </w:r>
            <w:r w:rsidR="00965DE2">
              <w:rPr>
                <w:noProof/>
                <w:webHidden/>
              </w:rPr>
              <w:fldChar w:fldCharType="separate"/>
            </w:r>
            <w:r w:rsidR="00965DE2">
              <w:rPr>
                <w:noProof/>
                <w:webHidden/>
              </w:rPr>
              <w:t>16</w:t>
            </w:r>
            <w:r w:rsidR="00965DE2">
              <w:rPr>
                <w:noProof/>
                <w:webHidden/>
              </w:rPr>
              <w:fldChar w:fldCharType="end"/>
            </w:r>
          </w:hyperlink>
        </w:p>
        <w:p w14:paraId="523811A8" w14:textId="20272292" w:rsidR="00965DE2" w:rsidRDefault="00F42DD8">
          <w:pPr>
            <w:pStyle w:val="TOC3"/>
            <w:tabs>
              <w:tab w:val="left" w:pos="1100"/>
              <w:tab w:val="right" w:leader="dot" w:pos="9060"/>
            </w:tabs>
            <w:rPr>
              <w:rFonts w:eastAsiaTheme="minorEastAsia" w:cstheme="minorBidi"/>
              <w:i w:val="0"/>
              <w:iCs w:val="0"/>
              <w:noProof/>
              <w:sz w:val="22"/>
              <w:szCs w:val="22"/>
              <w:lang w:eastAsia="en-GB" w:bidi="ar-SA"/>
            </w:rPr>
          </w:pPr>
          <w:hyperlink w:anchor="_Toc72673568" w:history="1">
            <w:r w:rsidR="00965DE2" w:rsidRPr="007C740D">
              <w:rPr>
                <w:rStyle w:val="Hyperlink"/>
                <w:noProof/>
              </w:rPr>
              <w:t>2.3.3</w:t>
            </w:r>
            <w:r w:rsidR="00965DE2">
              <w:rPr>
                <w:rFonts w:eastAsiaTheme="minorEastAsia" w:cstheme="minorBidi"/>
                <w:i w:val="0"/>
                <w:iCs w:val="0"/>
                <w:noProof/>
                <w:sz w:val="22"/>
                <w:szCs w:val="22"/>
                <w:lang w:eastAsia="en-GB" w:bidi="ar-SA"/>
              </w:rPr>
              <w:tab/>
            </w:r>
            <w:r w:rsidR="00965DE2" w:rsidRPr="007C740D">
              <w:rPr>
                <w:rStyle w:val="Hyperlink"/>
                <w:noProof/>
              </w:rPr>
              <w:t>Minimum amount of carbohydrate g/L</w:t>
            </w:r>
            <w:r w:rsidR="00965DE2">
              <w:rPr>
                <w:noProof/>
                <w:webHidden/>
              </w:rPr>
              <w:tab/>
            </w:r>
            <w:r w:rsidR="00965DE2">
              <w:rPr>
                <w:noProof/>
                <w:webHidden/>
              </w:rPr>
              <w:fldChar w:fldCharType="begin"/>
            </w:r>
            <w:r w:rsidR="00965DE2">
              <w:rPr>
                <w:noProof/>
                <w:webHidden/>
              </w:rPr>
              <w:instrText xml:space="preserve"> PAGEREF _Toc72673568 \h </w:instrText>
            </w:r>
            <w:r w:rsidR="00965DE2">
              <w:rPr>
                <w:noProof/>
                <w:webHidden/>
              </w:rPr>
            </w:r>
            <w:r w:rsidR="00965DE2">
              <w:rPr>
                <w:noProof/>
                <w:webHidden/>
              </w:rPr>
              <w:fldChar w:fldCharType="separate"/>
            </w:r>
            <w:r w:rsidR="00965DE2">
              <w:rPr>
                <w:noProof/>
                <w:webHidden/>
              </w:rPr>
              <w:t>17</w:t>
            </w:r>
            <w:r w:rsidR="00965DE2">
              <w:rPr>
                <w:noProof/>
                <w:webHidden/>
              </w:rPr>
              <w:fldChar w:fldCharType="end"/>
            </w:r>
          </w:hyperlink>
        </w:p>
        <w:p w14:paraId="4C0A415B" w14:textId="2E3A9B03" w:rsidR="00965DE2" w:rsidRDefault="00F42DD8">
          <w:pPr>
            <w:pStyle w:val="TOC3"/>
            <w:tabs>
              <w:tab w:val="left" w:pos="1100"/>
              <w:tab w:val="right" w:leader="dot" w:pos="9060"/>
            </w:tabs>
            <w:rPr>
              <w:rFonts w:eastAsiaTheme="minorEastAsia" w:cstheme="minorBidi"/>
              <w:i w:val="0"/>
              <w:iCs w:val="0"/>
              <w:noProof/>
              <w:sz w:val="22"/>
              <w:szCs w:val="22"/>
              <w:lang w:eastAsia="en-GB" w:bidi="ar-SA"/>
            </w:rPr>
          </w:pPr>
          <w:hyperlink w:anchor="_Toc72673569" w:history="1">
            <w:r w:rsidR="00965DE2" w:rsidRPr="007C740D">
              <w:rPr>
                <w:rStyle w:val="Hyperlink"/>
                <w:noProof/>
              </w:rPr>
              <w:t>2.3.4</w:t>
            </w:r>
            <w:r w:rsidR="00965DE2">
              <w:rPr>
                <w:rFonts w:eastAsiaTheme="minorEastAsia" w:cstheme="minorBidi"/>
                <w:i w:val="0"/>
                <w:iCs w:val="0"/>
                <w:noProof/>
                <w:sz w:val="22"/>
                <w:szCs w:val="22"/>
                <w:lang w:eastAsia="en-GB" w:bidi="ar-SA"/>
              </w:rPr>
              <w:tab/>
            </w:r>
            <w:r w:rsidR="00965DE2" w:rsidRPr="007C740D">
              <w:rPr>
                <w:rStyle w:val="Hyperlink"/>
                <w:noProof/>
              </w:rPr>
              <w:t>Nutrition content claims</w:t>
            </w:r>
            <w:r w:rsidR="00965DE2">
              <w:rPr>
                <w:noProof/>
                <w:webHidden/>
              </w:rPr>
              <w:tab/>
            </w:r>
            <w:r w:rsidR="00965DE2">
              <w:rPr>
                <w:noProof/>
                <w:webHidden/>
              </w:rPr>
              <w:fldChar w:fldCharType="begin"/>
            </w:r>
            <w:r w:rsidR="00965DE2">
              <w:rPr>
                <w:noProof/>
                <w:webHidden/>
              </w:rPr>
              <w:instrText xml:space="preserve"> PAGEREF _Toc72673569 \h </w:instrText>
            </w:r>
            <w:r w:rsidR="00965DE2">
              <w:rPr>
                <w:noProof/>
                <w:webHidden/>
              </w:rPr>
            </w:r>
            <w:r w:rsidR="00965DE2">
              <w:rPr>
                <w:noProof/>
                <w:webHidden/>
              </w:rPr>
              <w:fldChar w:fldCharType="separate"/>
            </w:r>
            <w:r w:rsidR="00965DE2">
              <w:rPr>
                <w:noProof/>
                <w:webHidden/>
              </w:rPr>
              <w:t>18</w:t>
            </w:r>
            <w:r w:rsidR="00965DE2">
              <w:rPr>
                <w:noProof/>
                <w:webHidden/>
              </w:rPr>
              <w:fldChar w:fldCharType="end"/>
            </w:r>
          </w:hyperlink>
        </w:p>
        <w:p w14:paraId="407A2C68" w14:textId="18E61C74" w:rsidR="00965DE2" w:rsidRDefault="00F42DD8">
          <w:pPr>
            <w:pStyle w:val="TOC3"/>
            <w:tabs>
              <w:tab w:val="left" w:pos="1100"/>
              <w:tab w:val="right" w:leader="dot" w:pos="9060"/>
            </w:tabs>
            <w:rPr>
              <w:rFonts w:eastAsiaTheme="minorEastAsia" w:cstheme="minorBidi"/>
              <w:i w:val="0"/>
              <w:iCs w:val="0"/>
              <w:noProof/>
              <w:sz w:val="22"/>
              <w:szCs w:val="22"/>
              <w:lang w:eastAsia="en-GB" w:bidi="ar-SA"/>
            </w:rPr>
          </w:pPr>
          <w:hyperlink w:anchor="_Toc72673570" w:history="1">
            <w:r w:rsidR="00965DE2" w:rsidRPr="007C740D">
              <w:rPr>
                <w:rStyle w:val="Hyperlink"/>
                <w:noProof/>
              </w:rPr>
              <w:t>2.3.5</w:t>
            </w:r>
            <w:r w:rsidR="00965DE2">
              <w:rPr>
                <w:rFonts w:eastAsiaTheme="minorEastAsia" w:cstheme="minorBidi"/>
                <w:i w:val="0"/>
                <w:iCs w:val="0"/>
                <w:noProof/>
                <w:sz w:val="22"/>
                <w:szCs w:val="22"/>
                <w:lang w:eastAsia="en-GB" w:bidi="ar-SA"/>
              </w:rPr>
              <w:tab/>
            </w:r>
            <w:r w:rsidR="00965DE2" w:rsidRPr="007C740D">
              <w:rPr>
                <w:rStyle w:val="Hyperlink"/>
                <w:noProof/>
              </w:rPr>
              <w:t>Health claims</w:t>
            </w:r>
            <w:r w:rsidR="00965DE2">
              <w:rPr>
                <w:noProof/>
                <w:webHidden/>
              </w:rPr>
              <w:tab/>
            </w:r>
            <w:r w:rsidR="00965DE2">
              <w:rPr>
                <w:noProof/>
                <w:webHidden/>
              </w:rPr>
              <w:fldChar w:fldCharType="begin"/>
            </w:r>
            <w:r w:rsidR="00965DE2">
              <w:rPr>
                <w:noProof/>
                <w:webHidden/>
              </w:rPr>
              <w:instrText xml:space="preserve"> PAGEREF _Toc72673570 \h </w:instrText>
            </w:r>
            <w:r w:rsidR="00965DE2">
              <w:rPr>
                <w:noProof/>
                <w:webHidden/>
              </w:rPr>
            </w:r>
            <w:r w:rsidR="00965DE2">
              <w:rPr>
                <w:noProof/>
                <w:webHidden/>
              </w:rPr>
              <w:fldChar w:fldCharType="separate"/>
            </w:r>
            <w:r w:rsidR="00965DE2">
              <w:rPr>
                <w:noProof/>
                <w:webHidden/>
              </w:rPr>
              <w:t>19</w:t>
            </w:r>
            <w:r w:rsidR="00965DE2">
              <w:rPr>
                <w:noProof/>
                <w:webHidden/>
              </w:rPr>
              <w:fldChar w:fldCharType="end"/>
            </w:r>
          </w:hyperlink>
        </w:p>
        <w:p w14:paraId="2A065E49" w14:textId="368E5AE8" w:rsidR="00965DE2" w:rsidRDefault="00F42DD8">
          <w:pPr>
            <w:pStyle w:val="TOC3"/>
            <w:tabs>
              <w:tab w:val="left" w:pos="1100"/>
              <w:tab w:val="right" w:leader="dot" w:pos="9060"/>
            </w:tabs>
            <w:rPr>
              <w:rFonts w:eastAsiaTheme="minorEastAsia" w:cstheme="minorBidi"/>
              <w:i w:val="0"/>
              <w:iCs w:val="0"/>
              <w:noProof/>
              <w:sz w:val="22"/>
              <w:szCs w:val="22"/>
              <w:lang w:eastAsia="en-GB" w:bidi="ar-SA"/>
            </w:rPr>
          </w:pPr>
          <w:hyperlink w:anchor="_Toc72673571" w:history="1">
            <w:r w:rsidR="00965DE2" w:rsidRPr="007C740D">
              <w:rPr>
                <w:rStyle w:val="Hyperlink"/>
                <w:noProof/>
              </w:rPr>
              <w:t>2.3.6</w:t>
            </w:r>
            <w:r w:rsidR="00965DE2">
              <w:rPr>
                <w:rFonts w:eastAsiaTheme="minorEastAsia" w:cstheme="minorBidi"/>
                <w:i w:val="0"/>
                <w:iCs w:val="0"/>
                <w:noProof/>
                <w:sz w:val="22"/>
                <w:szCs w:val="22"/>
                <w:lang w:eastAsia="en-GB" w:bidi="ar-SA"/>
              </w:rPr>
              <w:tab/>
            </w:r>
            <w:r w:rsidR="00965DE2" w:rsidRPr="007C740D">
              <w:rPr>
                <w:rStyle w:val="Hyperlink"/>
                <w:noProof/>
              </w:rPr>
              <w:t>Reference to ‘minerals’</w:t>
            </w:r>
            <w:r w:rsidR="00965DE2">
              <w:rPr>
                <w:noProof/>
                <w:webHidden/>
              </w:rPr>
              <w:tab/>
            </w:r>
            <w:r w:rsidR="00965DE2">
              <w:rPr>
                <w:noProof/>
                <w:webHidden/>
              </w:rPr>
              <w:fldChar w:fldCharType="begin"/>
            </w:r>
            <w:r w:rsidR="00965DE2">
              <w:rPr>
                <w:noProof/>
                <w:webHidden/>
              </w:rPr>
              <w:instrText xml:space="preserve"> PAGEREF _Toc72673571 \h </w:instrText>
            </w:r>
            <w:r w:rsidR="00965DE2">
              <w:rPr>
                <w:noProof/>
                <w:webHidden/>
              </w:rPr>
            </w:r>
            <w:r w:rsidR="00965DE2">
              <w:rPr>
                <w:noProof/>
                <w:webHidden/>
              </w:rPr>
              <w:fldChar w:fldCharType="separate"/>
            </w:r>
            <w:r w:rsidR="00965DE2">
              <w:rPr>
                <w:noProof/>
                <w:webHidden/>
              </w:rPr>
              <w:t>23</w:t>
            </w:r>
            <w:r w:rsidR="00965DE2">
              <w:rPr>
                <w:noProof/>
                <w:webHidden/>
              </w:rPr>
              <w:fldChar w:fldCharType="end"/>
            </w:r>
          </w:hyperlink>
        </w:p>
        <w:p w14:paraId="515BDB74" w14:textId="6D329A33" w:rsidR="00965DE2" w:rsidRDefault="00F42DD8">
          <w:pPr>
            <w:pStyle w:val="TOC3"/>
            <w:tabs>
              <w:tab w:val="left" w:pos="1100"/>
              <w:tab w:val="right" w:leader="dot" w:pos="9060"/>
            </w:tabs>
            <w:rPr>
              <w:rFonts w:eastAsiaTheme="minorEastAsia" w:cstheme="minorBidi"/>
              <w:i w:val="0"/>
              <w:iCs w:val="0"/>
              <w:noProof/>
              <w:sz w:val="22"/>
              <w:szCs w:val="22"/>
              <w:lang w:eastAsia="en-GB" w:bidi="ar-SA"/>
            </w:rPr>
          </w:pPr>
          <w:hyperlink w:anchor="_Toc72673572" w:history="1">
            <w:r w:rsidR="00965DE2" w:rsidRPr="007C740D">
              <w:rPr>
                <w:rStyle w:val="Hyperlink"/>
                <w:noProof/>
              </w:rPr>
              <w:t>2.3.7</w:t>
            </w:r>
            <w:r w:rsidR="00965DE2">
              <w:rPr>
                <w:rFonts w:eastAsiaTheme="minorEastAsia" w:cstheme="minorBidi"/>
                <w:i w:val="0"/>
                <w:iCs w:val="0"/>
                <w:noProof/>
                <w:sz w:val="22"/>
                <w:szCs w:val="22"/>
                <w:lang w:eastAsia="en-GB" w:bidi="ar-SA"/>
              </w:rPr>
              <w:tab/>
            </w:r>
            <w:r w:rsidR="00965DE2" w:rsidRPr="007C740D">
              <w:rPr>
                <w:rStyle w:val="Hyperlink"/>
                <w:noProof/>
              </w:rPr>
              <w:t>Nutrition information requirements</w:t>
            </w:r>
            <w:r w:rsidR="00965DE2">
              <w:rPr>
                <w:noProof/>
                <w:webHidden/>
              </w:rPr>
              <w:tab/>
            </w:r>
            <w:r w:rsidR="00965DE2">
              <w:rPr>
                <w:noProof/>
                <w:webHidden/>
              </w:rPr>
              <w:fldChar w:fldCharType="begin"/>
            </w:r>
            <w:r w:rsidR="00965DE2">
              <w:rPr>
                <w:noProof/>
                <w:webHidden/>
              </w:rPr>
              <w:instrText xml:space="preserve"> PAGEREF _Toc72673572 \h </w:instrText>
            </w:r>
            <w:r w:rsidR="00965DE2">
              <w:rPr>
                <w:noProof/>
                <w:webHidden/>
              </w:rPr>
            </w:r>
            <w:r w:rsidR="00965DE2">
              <w:rPr>
                <w:noProof/>
                <w:webHidden/>
              </w:rPr>
              <w:fldChar w:fldCharType="separate"/>
            </w:r>
            <w:r w:rsidR="00965DE2">
              <w:rPr>
                <w:noProof/>
                <w:webHidden/>
              </w:rPr>
              <w:t>24</w:t>
            </w:r>
            <w:r w:rsidR="00965DE2">
              <w:rPr>
                <w:noProof/>
                <w:webHidden/>
              </w:rPr>
              <w:fldChar w:fldCharType="end"/>
            </w:r>
          </w:hyperlink>
        </w:p>
        <w:p w14:paraId="4BFECF2D" w14:textId="3DFB6AB3" w:rsidR="00965DE2" w:rsidRDefault="00F42DD8">
          <w:pPr>
            <w:pStyle w:val="TOC3"/>
            <w:tabs>
              <w:tab w:val="left" w:pos="1100"/>
              <w:tab w:val="right" w:leader="dot" w:pos="9060"/>
            </w:tabs>
            <w:rPr>
              <w:rFonts w:eastAsiaTheme="minorEastAsia" w:cstheme="minorBidi"/>
              <w:i w:val="0"/>
              <w:iCs w:val="0"/>
              <w:noProof/>
              <w:sz w:val="22"/>
              <w:szCs w:val="22"/>
              <w:lang w:eastAsia="en-GB" w:bidi="ar-SA"/>
            </w:rPr>
          </w:pPr>
          <w:hyperlink w:anchor="_Toc72673573" w:history="1">
            <w:r w:rsidR="00965DE2" w:rsidRPr="007C740D">
              <w:rPr>
                <w:rStyle w:val="Hyperlink"/>
                <w:noProof/>
              </w:rPr>
              <w:t>2.3.8</w:t>
            </w:r>
            <w:r w:rsidR="00965DE2">
              <w:rPr>
                <w:rFonts w:eastAsiaTheme="minorEastAsia" w:cstheme="minorBidi"/>
                <w:i w:val="0"/>
                <w:iCs w:val="0"/>
                <w:noProof/>
                <w:sz w:val="22"/>
                <w:szCs w:val="22"/>
                <w:lang w:eastAsia="en-GB" w:bidi="ar-SA"/>
              </w:rPr>
              <w:tab/>
            </w:r>
            <w:r w:rsidR="00965DE2" w:rsidRPr="007C740D">
              <w:rPr>
                <w:rStyle w:val="Hyperlink"/>
                <w:noProof/>
              </w:rPr>
              <w:t>Claims in relation to the tonicity of electrolyte drinks</w:t>
            </w:r>
            <w:r w:rsidR="00965DE2">
              <w:rPr>
                <w:noProof/>
                <w:webHidden/>
              </w:rPr>
              <w:tab/>
            </w:r>
            <w:r w:rsidR="00965DE2">
              <w:rPr>
                <w:noProof/>
                <w:webHidden/>
              </w:rPr>
              <w:fldChar w:fldCharType="begin"/>
            </w:r>
            <w:r w:rsidR="00965DE2">
              <w:rPr>
                <w:noProof/>
                <w:webHidden/>
              </w:rPr>
              <w:instrText xml:space="preserve"> PAGEREF _Toc72673573 \h </w:instrText>
            </w:r>
            <w:r w:rsidR="00965DE2">
              <w:rPr>
                <w:noProof/>
                <w:webHidden/>
              </w:rPr>
            </w:r>
            <w:r w:rsidR="00965DE2">
              <w:rPr>
                <w:noProof/>
                <w:webHidden/>
              </w:rPr>
              <w:fldChar w:fldCharType="separate"/>
            </w:r>
            <w:r w:rsidR="00965DE2">
              <w:rPr>
                <w:noProof/>
                <w:webHidden/>
              </w:rPr>
              <w:t>26</w:t>
            </w:r>
            <w:r w:rsidR="00965DE2">
              <w:rPr>
                <w:noProof/>
                <w:webHidden/>
              </w:rPr>
              <w:fldChar w:fldCharType="end"/>
            </w:r>
          </w:hyperlink>
        </w:p>
        <w:p w14:paraId="095EC99E" w14:textId="5DEB5974" w:rsidR="00965DE2" w:rsidRDefault="00F42DD8">
          <w:pPr>
            <w:pStyle w:val="TOC3"/>
            <w:tabs>
              <w:tab w:val="left" w:pos="1100"/>
              <w:tab w:val="right" w:leader="dot" w:pos="9060"/>
            </w:tabs>
            <w:rPr>
              <w:rFonts w:eastAsiaTheme="minorEastAsia" w:cstheme="minorBidi"/>
              <w:i w:val="0"/>
              <w:iCs w:val="0"/>
              <w:noProof/>
              <w:sz w:val="22"/>
              <w:szCs w:val="22"/>
              <w:lang w:eastAsia="en-GB" w:bidi="ar-SA"/>
            </w:rPr>
          </w:pPr>
          <w:hyperlink w:anchor="_Toc72673574" w:history="1">
            <w:r w:rsidR="00965DE2" w:rsidRPr="007C740D">
              <w:rPr>
                <w:rStyle w:val="Hyperlink"/>
                <w:noProof/>
              </w:rPr>
              <w:t>2.3.9</w:t>
            </w:r>
            <w:r w:rsidR="00965DE2">
              <w:rPr>
                <w:rFonts w:eastAsiaTheme="minorEastAsia" w:cstheme="minorBidi"/>
                <w:i w:val="0"/>
                <w:iCs w:val="0"/>
                <w:noProof/>
                <w:sz w:val="22"/>
                <w:szCs w:val="22"/>
                <w:lang w:eastAsia="en-GB" w:bidi="ar-SA"/>
              </w:rPr>
              <w:tab/>
            </w:r>
            <w:r w:rsidR="00965DE2" w:rsidRPr="007C740D">
              <w:rPr>
                <w:rStyle w:val="Hyperlink"/>
                <w:noProof/>
              </w:rPr>
              <w:t>Prescribed name</w:t>
            </w:r>
            <w:r w:rsidR="00965DE2">
              <w:rPr>
                <w:noProof/>
                <w:webHidden/>
              </w:rPr>
              <w:tab/>
            </w:r>
            <w:r w:rsidR="00965DE2">
              <w:rPr>
                <w:noProof/>
                <w:webHidden/>
              </w:rPr>
              <w:fldChar w:fldCharType="begin"/>
            </w:r>
            <w:r w:rsidR="00965DE2">
              <w:rPr>
                <w:noProof/>
                <w:webHidden/>
              </w:rPr>
              <w:instrText xml:space="preserve"> PAGEREF _Toc72673574 \h </w:instrText>
            </w:r>
            <w:r w:rsidR="00965DE2">
              <w:rPr>
                <w:noProof/>
                <w:webHidden/>
              </w:rPr>
            </w:r>
            <w:r w:rsidR="00965DE2">
              <w:rPr>
                <w:noProof/>
                <w:webHidden/>
              </w:rPr>
              <w:fldChar w:fldCharType="separate"/>
            </w:r>
            <w:r w:rsidR="00965DE2">
              <w:rPr>
                <w:noProof/>
                <w:webHidden/>
              </w:rPr>
              <w:t>26</w:t>
            </w:r>
            <w:r w:rsidR="00965DE2">
              <w:rPr>
                <w:noProof/>
                <w:webHidden/>
              </w:rPr>
              <w:fldChar w:fldCharType="end"/>
            </w:r>
          </w:hyperlink>
        </w:p>
        <w:p w14:paraId="146964D4" w14:textId="3CA50EE3" w:rsidR="00965DE2" w:rsidRDefault="00F42DD8">
          <w:pPr>
            <w:pStyle w:val="TOC2"/>
            <w:tabs>
              <w:tab w:val="left" w:pos="880"/>
              <w:tab w:val="right" w:leader="dot" w:pos="9060"/>
            </w:tabs>
            <w:rPr>
              <w:rFonts w:eastAsiaTheme="minorEastAsia" w:cstheme="minorBidi"/>
              <w:smallCaps w:val="0"/>
              <w:noProof/>
              <w:sz w:val="22"/>
              <w:szCs w:val="22"/>
              <w:lang w:eastAsia="en-GB" w:bidi="ar-SA"/>
            </w:rPr>
          </w:pPr>
          <w:hyperlink w:anchor="_Toc72673575" w:history="1">
            <w:r w:rsidR="00965DE2" w:rsidRPr="007C740D">
              <w:rPr>
                <w:rStyle w:val="Hyperlink"/>
                <w:noProof/>
              </w:rPr>
              <w:t>2.4</w:t>
            </w:r>
            <w:r w:rsidR="00965DE2">
              <w:rPr>
                <w:rFonts w:eastAsiaTheme="minorEastAsia" w:cstheme="minorBidi"/>
                <w:smallCaps w:val="0"/>
                <w:noProof/>
                <w:sz w:val="22"/>
                <w:szCs w:val="22"/>
                <w:lang w:eastAsia="en-GB" w:bidi="ar-SA"/>
              </w:rPr>
              <w:tab/>
            </w:r>
            <w:r w:rsidR="00965DE2" w:rsidRPr="007C740D">
              <w:rPr>
                <w:rStyle w:val="Hyperlink"/>
                <w:noProof/>
              </w:rPr>
              <w:t>Related issues</w:t>
            </w:r>
            <w:r w:rsidR="00965DE2">
              <w:rPr>
                <w:noProof/>
                <w:webHidden/>
              </w:rPr>
              <w:tab/>
            </w:r>
            <w:r w:rsidR="00965DE2">
              <w:rPr>
                <w:noProof/>
                <w:webHidden/>
              </w:rPr>
              <w:fldChar w:fldCharType="begin"/>
            </w:r>
            <w:r w:rsidR="00965DE2">
              <w:rPr>
                <w:noProof/>
                <w:webHidden/>
              </w:rPr>
              <w:instrText xml:space="preserve"> PAGEREF _Toc72673575 \h </w:instrText>
            </w:r>
            <w:r w:rsidR="00965DE2">
              <w:rPr>
                <w:noProof/>
                <w:webHidden/>
              </w:rPr>
            </w:r>
            <w:r w:rsidR="00965DE2">
              <w:rPr>
                <w:noProof/>
                <w:webHidden/>
              </w:rPr>
              <w:fldChar w:fldCharType="separate"/>
            </w:r>
            <w:r w:rsidR="00965DE2">
              <w:rPr>
                <w:noProof/>
                <w:webHidden/>
              </w:rPr>
              <w:t>27</w:t>
            </w:r>
            <w:r w:rsidR="00965DE2">
              <w:rPr>
                <w:noProof/>
                <w:webHidden/>
              </w:rPr>
              <w:fldChar w:fldCharType="end"/>
            </w:r>
          </w:hyperlink>
        </w:p>
        <w:p w14:paraId="2A4DD5DC" w14:textId="140537D5" w:rsidR="00965DE2" w:rsidRDefault="00F42DD8">
          <w:pPr>
            <w:pStyle w:val="TOC3"/>
            <w:tabs>
              <w:tab w:val="left" w:pos="1100"/>
              <w:tab w:val="right" w:leader="dot" w:pos="9060"/>
            </w:tabs>
            <w:rPr>
              <w:rFonts w:eastAsiaTheme="minorEastAsia" w:cstheme="minorBidi"/>
              <w:i w:val="0"/>
              <w:iCs w:val="0"/>
              <w:noProof/>
              <w:sz w:val="22"/>
              <w:szCs w:val="22"/>
              <w:lang w:eastAsia="en-GB" w:bidi="ar-SA"/>
            </w:rPr>
          </w:pPr>
          <w:hyperlink w:anchor="_Toc72673576" w:history="1">
            <w:r w:rsidR="00965DE2" w:rsidRPr="007C740D">
              <w:rPr>
                <w:rStyle w:val="Hyperlink"/>
                <w:noProof/>
              </w:rPr>
              <w:t>2.4.1</w:t>
            </w:r>
            <w:r w:rsidR="00965DE2">
              <w:rPr>
                <w:rFonts w:eastAsiaTheme="minorEastAsia" w:cstheme="minorBidi"/>
                <w:i w:val="0"/>
                <w:iCs w:val="0"/>
                <w:noProof/>
                <w:sz w:val="22"/>
                <w:szCs w:val="22"/>
                <w:lang w:eastAsia="en-GB" w:bidi="ar-SA"/>
              </w:rPr>
              <w:tab/>
            </w:r>
            <w:r w:rsidR="00965DE2" w:rsidRPr="007C740D">
              <w:rPr>
                <w:rStyle w:val="Hyperlink"/>
                <w:noProof/>
              </w:rPr>
              <w:t>Electrolyte drinks and sugar sweetened beverages</w:t>
            </w:r>
            <w:r w:rsidR="00965DE2">
              <w:rPr>
                <w:noProof/>
                <w:webHidden/>
              </w:rPr>
              <w:tab/>
            </w:r>
            <w:r w:rsidR="00965DE2">
              <w:rPr>
                <w:noProof/>
                <w:webHidden/>
              </w:rPr>
              <w:fldChar w:fldCharType="begin"/>
            </w:r>
            <w:r w:rsidR="00965DE2">
              <w:rPr>
                <w:noProof/>
                <w:webHidden/>
              </w:rPr>
              <w:instrText xml:space="preserve"> PAGEREF _Toc72673576 \h </w:instrText>
            </w:r>
            <w:r w:rsidR="00965DE2">
              <w:rPr>
                <w:noProof/>
                <w:webHidden/>
              </w:rPr>
            </w:r>
            <w:r w:rsidR="00965DE2">
              <w:rPr>
                <w:noProof/>
                <w:webHidden/>
              </w:rPr>
              <w:fldChar w:fldCharType="separate"/>
            </w:r>
            <w:r w:rsidR="00965DE2">
              <w:rPr>
                <w:noProof/>
                <w:webHidden/>
              </w:rPr>
              <w:t>27</w:t>
            </w:r>
            <w:r w:rsidR="00965DE2">
              <w:rPr>
                <w:noProof/>
                <w:webHidden/>
              </w:rPr>
              <w:fldChar w:fldCharType="end"/>
            </w:r>
          </w:hyperlink>
        </w:p>
        <w:p w14:paraId="07121F49" w14:textId="551669B2" w:rsidR="00965DE2" w:rsidRDefault="00F42DD8">
          <w:pPr>
            <w:pStyle w:val="TOC3"/>
            <w:tabs>
              <w:tab w:val="left" w:pos="1100"/>
              <w:tab w:val="right" w:leader="dot" w:pos="9060"/>
            </w:tabs>
            <w:rPr>
              <w:rFonts w:eastAsiaTheme="minorEastAsia" w:cstheme="minorBidi"/>
              <w:i w:val="0"/>
              <w:iCs w:val="0"/>
              <w:noProof/>
              <w:sz w:val="22"/>
              <w:szCs w:val="22"/>
              <w:lang w:eastAsia="en-GB" w:bidi="ar-SA"/>
            </w:rPr>
          </w:pPr>
          <w:hyperlink w:anchor="_Toc72673577" w:history="1">
            <w:r w:rsidR="00965DE2" w:rsidRPr="007C740D">
              <w:rPr>
                <w:rStyle w:val="Hyperlink"/>
                <w:noProof/>
              </w:rPr>
              <w:t>2.4.2</w:t>
            </w:r>
            <w:r w:rsidR="00965DE2">
              <w:rPr>
                <w:rFonts w:eastAsiaTheme="minorEastAsia" w:cstheme="minorBidi"/>
                <w:i w:val="0"/>
                <w:iCs w:val="0"/>
                <w:noProof/>
                <w:sz w:val="22"/>
                <w:szCs w:val="22"/>
                <w:lang w:eastAsia="en-GB" w:bidi="ar-SA"/>
              </w:rPr>
              <w:tab/>
            </w:r>
            <w:r w:rsidR="00965DE2" w:rsidRPr="007C740D">
              <w:rPr>
                <w:rStyle w:val="Hyperlink"/>
                <w:noProof/>
              </w:rPr>
              <w:t>Use of intense sweeteners</w:t>
            </w:r>
            <w:r w:rsidR="00965DE2">
              <w:rPr>
                <w:noProof/>
                <w:webHidden/>
              </w:rPr>
              <w:tab/>
            </w:r>
            <w:r w:rsidR="00965DE2">
              <w:rPr>
                <w:noProof/>
                <w:webHidden/>
              </w:rPr>
              <w:fldChar w:fldCharType="begin"/>
            </w:r>
            <w:r w:rsidR="00965DE2">
              <w:rPr>
                <w:noProof/>
                <w:webHidden/>
              </w:rPr>
              <w:instrText xml:space="preserve"> PAGEREF _Toc72673577 \h </w:instrText>
            </w:r>
            <w:r w:rsidR="00965DE2">
              <w:rPr>
                <w:noProof/>
                <w:webHidden/>
              </w:rPr>
            </w:r>
            <w:r w:rsidR="00965DE2">
              <w:rPr>
                <w:noProof/>
                <w:webHidden/>
              </w:rPr>
              <w:fldChar w:fldCharType="separate"/>
            </w:r>
            <w:r w:rsidR="00965DE2">
              <w:rPr>
                <w:noProof/>
                <w:webHidden/>
              </w:rPr>
              <w:t>28</w:t>
            </w:r>
            <w:r w:rsidR="00965DE2">
              <w:rPr>
                <w:noProof/>
                <w:webHidden/>
              </w:rPr>
              <w:fldChar w:fldCharType="end"/>
            </w:r>
          </w:hyperlink>
        </w:p>
        <w:p w14:paraId="5D46D623" w14:textId="63414EB3" w:rsidR="00965DE2" w:rsidRDefault="00F42DD8">
          <w:pPr>
            <w:pStyle w:val="TOC3"/>
            <w:tabs>
              <w:tab w:val="left" w:pos="1100"/>
              <w:tab w:val="right" w:leader="dot" w:pos="9060"/>
            </w:tabs>
            <w:rPr>
              <w:rFonts w:eastAsiaTheme="minorEastAsia" w:cstheme="minorBidi"/>
              <w:i w:val="0"/>
              <w:iCs w:val="0"/>
              <w:noProof/>
              <w:sz w:val="22"/>
              <w:szCs w:val="22"/>
              <w:lang w:eastAsia="en-GB" w:bidi="ar-SA"/>
            </w:rPr>
          </w:pPr>
          <w:hyperlink w:anchor="_Toc72673578" w:history="1">
            <w:r w:rsidR="00965DE2" w:rsidRPr="007C740D">
              <w:rPr>
                <w:rStyle w:val="Hyperlink"/>
                <w:noProof/>
              </w:rPr>
              <w:t>2.4.3</w:t>
            </w:r>
            <w:r w:rsidR="00965DE2">
              <w:rPr>
                <w:rFonts w:eastAsiaTheme="minorEastAsia" w:cstheme="minorBidi"/>
                <w:i w:val="0"/>
                <w:iCs w:val="0"/>
                <w:noProof/>
                <w:sz w:val="22"/>
                <w:szCs w:val="22"/>
                <w:lang w:eastAsia="en-GB" w:bidi="ar-SA"/>
              </w:rPr>
              <w:tab/>
            </w:r>
            <w:r w:rsidR="00965DE2" w:rsidRPr="007C740D">
              <w:rPr>
                <w:rStyle w:val="Hyperlink"/>
                <w:noProof/>
              </w:rPr>
              <w:t>The use of the term ‘electrolyte’</w:t>
            </w:r>
            <w:r w:rsidR="00965DE2">
              <w:rPr>
                <w:noProof/>
                <w:webHidden/>
              </w:rPr>
              <w:tab/>
            </w:r>
            <w:r w:rsidR="00965DE2">
              <w:rPr>
                <w:noProof/>
                <w:webHidden/>
              </w:rPr>
              <w:fldChar w:fldCharType="begin"/>
            </w:r>
            <w:r w:rsidR="00965DE2">
              <w:rPr>
                <w:noProof/>
                <w:webHidden/>
              </w:rPr>
              <w:instrText xml:space="preserve"> PAGEREF _Toc72673578 \h </w:instrText>
            </w:r>
            <w:r w:rsidR="00965DE2">
              <w:rPr>
                <w:noProof/>
                <w:webHidden/>
              </w:rPr>
            </w:r>
            <w:r w:rsidR="00965DE2">
              <w:rPr>
                <w:noProof/>
                <w:webHidden/>
              </w:rPr>
              <w:fldChar w:fldCharType="separate"/>
            </w:r>
            <w:r w:rsidR="00965DE2">
              <w:rPr>
                <w:noProof/>
                <w:webHidden/>
              </w:rPr>
              <w:t>28</w:t>
            </w:r>
            <w:r w:rsidR="00965DE2">
              <w:rPr>
                <w:noProof/>
                <w:webHidden/>
              </w:rPr>
              <w:fldChar w:fldCharType="end"/>
            </w:r>
          </w:hyperlink>
        </w:p>
        <w:p w14:paraId="0191D369" w14:textId="7EC496B8" w:rsidR="00965DE2" w:rsidRDefault="00F42DD8">
          <w:pPr>
            <w:pStyle w:val="TOC2"/>
            <w:tabs>
              <w:tab w:val="left" w:pos="880"/>
              <w:tab w:val="right" w:leader="dot" w:pos="9060"/>
            </w:tabs>
            <w:rPr>
              <w:rFonts w:eastAsiaTheme="minorEastAsia" w:cstheme="minorBidi"/>
              <w:smallCaps w:val="0"/>
              <w:noProof/>
              <w:sz w:val="22"/>
              <w:szCs w:val="22"/>
              <w:lang w:eastAsia="en-GB" w:bidi="ar-SA"/>
            </w:rPr>
          </w:pPr>
          <w:hyperlink w:anchor="_Toc72673579" w:history="1">
            <w:r w:rsidR="00965DE2" w:rsidRPr="007C740D">
              <w:rPr>
                <w:rStyle w:val="Hyperlink"/>
                <w:noProof/>
              </w:rPr>
              <w:t>2.5</w:t>
            </w:r>
            <w:r w:rsidR="00965DE2">
              <w:rPr>
                <w:rFonts w:eastAsiaTheme="minorEastAsia" w:cstheme="minorBidi"/>
                <w:smallCaps w:val="0"/>
                <w:noProof/>
                <w:sz w:val="22"/>
                <w:szCs w:val="22"/>
                <w:lang w:eastAsia="en-GB" w:bidi="ar-SA"/>
              </w:rPr>
              <w:tab/>
            </w:r>
            <w:r w:rsidR="00965DE2" w:rsidRPr="007C740D">
              <w:rPr>
                <w:rStyle w:val="Hyperlink"/>
                <w:noProof/>
              </w:rPr>
              <w:t>Risk communication</w:t>
            </w:r>
            <w:r w:rsidR="00965DE2">
              <w:rPr>
                <w:noProof/>
                <w:webHidden/>
              </w:rPr>
              <w:tab/>
            </w:r>
            <w:r w:rsidR="00965DE2">
              <w:rPr>
                <w:noProof/>
                <w:webHidden/>
              </w:rPr>
              <w:fldChar w:fldCharType="begin"/>
            </w:r>
            <w:r w:rsidR="00965DE2">
              <w:rPr>
                <w:noProof/>
                <w:webHidden/>
              </w:rPr>
              <w:instrText xml:space="preserve"> PAGEREF _Toc72673579 \h </w:instrText>
            </w:r>
            <w:r w:rsidR="00965DE2">
              <w:rPr>
                <w:noProof/>
                <w:webHidden/>
              </w:rPr>
            </w:r>
            <w:r w:rsidR="00965DE2">
              <w:rPr>
                <w:noProof/>
                <w:webHidden/>
              </w:rPr>
              <w:fldChar w:fldCharType="separate"/>
            </w:r>
            <w:r w:rsidR="00965DE2">
              <w:rPr>
                <w:noProof/>
                <w:webHidden/>
              </w:rPr>
              <w:t>28</w:t>
            </w:r>
            <w:r w:rsidR="00965DE2">
              <w:rPr>
                <w:noProof/>
                <w:webHidden/>
              </w:rPr>
              <w:fldChar w:fldCharType="end"/>
            </w:r>
          </w:hyperlink>
        </w:p>
        <w:p w14:paraId="52681CB0" w14:textId="70F6D827" w:rsidR="00965DE2" w:rsidRDefault="00F42DD8">
          <w:pPr>
            <w:pStyle w:val="TOC3"/>
            <w:tabs>
              <w:tab w:val="left" w:pos="1100"/>
              <w:tab w:val="right" w:leader="dot" w:pos="9060"/>
            </w:tabs>
            <w:rPr>
              <w:rFonts w:eastAsiaTheme="minorEastAsia" w:cstheme="minorBidi"/>
              <w:i w:val="0"/>
              <w:iCs w:val="0"/>
              <w:noProof/>
              <w:sz w:val="22"/>
              <w:szCs w:val="22"/>
              <w:lang w:eastAsia="en-GB" w:bidi="ar-SA"/>
            </w:rPr>
          </w:pPr>
          <w:hyperlink w:anchor="_Toc72673580" w:history="1">
            <w:r w:rsidR="00965DE2" w:rsidRPr="007C740D">
              <w:rPr>
                <w:rStyle w:val="Hyperlink"/>
                <w:noProof/>
              </w:rPr>
              <w:t>2.5.1</w:t>
            </w:r>
            <w:r w:rsidR="00965DE2">
              <w:rPr>
                <w:rFonts w:eastAsiaTheme="minorEastAsia" w:cstheme="minorBidi"/>
                <w:i w:val="0"/>
                <w:iCs w:val="0"/>
                <w:noProof/>
                <w:sz w:val="22"/>
                <w:szCs w:val="22"/>
                <w:lang w:eastAsia="en-GB" w:bidi="ar-SA"/>
              </w:rPr>
              <w:tab/>
            </w:r>
            <w:r w:rsidR="00965DE2" w:rsidRPr="007C740D">
              <w:rPr>
                <w:rStyle w:val="Hyperlink"/>
                <w:noProof/>
              </w:rPr>
              <w:t>Consultation</w:t>
            </w:r>
            <w:r w:rsidR="00965DE2">
              <w:rPr>
                <w:noProof/>
                <w:webHidden/>
              </w:rPr>
              <w:tab/>
            </w:r>
            <w:r w:rsidR="00965DE2">
              <w:rPr>
                <w:noProof/>
                <w:webHidden/>
              </w:rPr>
              <w:fldChar w:fldCharType="begin"/>
            </w:r>
            <w:r w:rsidR="00965DE2">
              <w:rPr>
                <w:noProof/>
                <w:webHidden/>
              </w:rPr>
              <w:instrText xml:space="preserve"> PAGEREF _Toc72673580 \h </w:instrText>
            </w:r>
            <w:r w:rsidR="00965DE2">
              <w:rPr>
                <w:noProof/>
                <w:webHidden/>
              </w:rPr>
            </w:r>
            <w:r w:rsidR="00965DE2">
              <w:rPr>
                <w:noProof/>
                <w:webHidden/>
              </w:rPr>
              <w:fldChar w:fldCharType="separate"/>
            </w:r>
            <w:r w:rsidR="00965DE2">
              <w:rPr>
                <w:noProof/>
                <w:webHidden/>
              </w:rPr>
              <w:t>28</w:t>
            </w:r>
            <w:r w:rsidR="00965DE2">
              <w:rPr>
                <w:noProof/>
                <w:webHidden/>
              </w:rPr>
              <w:fldChar w:fldCharType="end"/>
            </w:r>
          </w:hyperlink>
        </w:p>
        <w:p w14:paraId="7F2178F5" w14:textId="21977576" w:rsidR="00965DE2" w:rsidRDefault="00F42DD8">
          <w:pPr>
            <w:pStyle w:val="TOC3"/>
            <w:tabs>
              <w:tab w:val="left" w:pos="1100"/>
              <w:tab w:val="right" w:leader="dot" w:pos="9060"/>
            </w:tabs>
            <w:rPr>
              <w:rFonts w:eastAsiaTheme="minorEastAsia" w:cstheme="minorBidi"/>
              <w:i w:val="0"/>
              <w:iCs w:val="0"/>
              <w:noProof/>
              <w:sz w:val="22"/>
              <w:szCs w:val="22"/>
              <w:lang w:eastAsia="en-GB" w:bidi="ar-SA"/>
            </w:rPr>
          </w:pPr>
          <w:hyperlink w:anchor="_Toc72673581" w:history="1">
            <w:r w:rsidR="00965DE2" w:rsidRPr="007C740D">
              <w:rPr>
                <w:rStyle w:val="Hyperlink"/>
                <w:noProof/>
              </w:rPr>
              <w:t>2.5.2</w:t>
            </w:r>
            <w:r w:rsidR="00965DE2">
              <w:rPr>
                <w:rFonts w:eastAsiaTheme="minorEastAsia" w:cstheme="minorBidi"/>
                <w:i w:val="0"/>
                <w:iCs w:val="0"/>
                <w:noProof/>
                <w:sz w:val="22"/>
                <w:szCs w:val="22"/>
                <w:lang w:eastAsia="en-GB" w:bidi="ar-SA"/>
              </w:rPr>
              <w:tab/>
            </w:r>
            <w:r w:rsidR="00965DE2" w:rsidRPr="007C740D">
              <w:rPr>
                <w:rStyle w:val="Hyperlink"/>
                <w:noProof/>
              </w:rPr>
              <w:t>World Trade Organization (WTO)</w:t>
            </w:r>
            <w:r w:rsidR="00965DE2">
              <w:rPr>
                <w:noProof/>
                <w:webHidden/>
              </w:rPr>
              <w:tab/>
            </w:r>
            <w:r w:rsidR="00965DE2">
              <w:rPr>
                <w:noProof/>
                <w:webHidden/>
              </w:rPr>
              <w:fldChar w:fldCharType="begin"/>
            </w:r>
            <w:r w:rsidR="00965DE2">
              <w:rPr>
                <w:noProof/>
                <w:webHidden/>
              </w:rPr>
              <w:instrText xml:space="preserve"> PAGEREF _Toc72673581 \h </w:instrText>
            </w:r>
            <w:r w:rsidR="00965DE2">
              <w:rPr>
                <w:noProof/>
                <w:webHidden/>
              </w:rPr>
            </w:r>
            <w:r w:rsidR="00965DE2">
              <w:rPr>
                <w:noProof/>
                <w:webHidden/>
              </w:rPr>
              <w:fldChar w:fldCharType="separate"/>
            </w:r>
            <w:r w:rsidR="00965DE2">
              <w:rPr>
                <w:noProof/>
                <w:webHidden/>
              </w:rPr>
              <w:t>29</w:t>
            </w:r>
            <w:r w:rsidR="00965DE2">
              <w:rPr>
                <w:noProof/>
                <w:webHidden/>
              </w:rPr>
              <w:fldChar w:fldCharType="end"/>
            </w:r>
          </w:hyperlink>
        </w:p>
        <w:p w14:paraId="422A3F52" w14:textId="4DC5C0BB" w:rsidR="00965DE2" w:rsidRDefault="00F42DD8">
          <w:pPr>
            <w:pStyle w:val="TOC2"/>
            <w:tabs>
              <w:tab w:val="left" w:pos="880"/>
              <w:tab w:val="right" w:leader="dot" w:pos="9060"/>
            </w:tabs>
            <w:rPr>
              <w:rFonts w:eastAsiaTheme="minorEastAsia" w:cstheme="minorBidi"/>
              <w:smallCaps w:val="0"/>
              <w:noProof/>
              <w:sz w:val="22"/>
              <w:szCs w:val="22"/>
              <w:lang w:eastAsia="en-GB" w:bidi="ar-SA"/>
            </w:rPr>
          </w:pPr>
          <w:hyperlink w:anchor="_Toc72673582" w:history="1">
            <w:r w:rsidR="00965DE2" w:rsidRPr="007C740D">
              <w:rPr>
                <w:rStyle w:val="Hyperlink"/>
                <w:noProof/>
              </w:rPr>
              <w:t>2.6</w:t>
            </w:r>
            <w:r w:rsidR="00965DE2">
              <w:rPr>
                <w:rFonts w:eastAsiaTheme="minorEastAsia" w:cstheme="minorBidi"/>
                <w:smallCaps w:val="0"/>
                <w:noProof/>
                <w:sz w:val="22"/>
                <w:szCs w:val="22"/>
                <w:lang w:eastAsia="en-GB" w:bidi="ar-SA"/>
              </w:rPr>
              <w:tab/>
            </w:r>
            <w:r w:rsidR="00965DE2" w:rsidRPr="007C740D">
              <w:rPr>
                <w:rStyle w:val="Hyperlink"/>
                <w:noProof/>
              </w:rPr>
              <w:t>FSANZ Act assessment requirements</w:t>
            </w:r>
            <w:r w:rsidR="00965DE2">
              <w:rPr>
                <w:noProof/>
                <w:webHidden/>
              </w:rPr>
              <w:tab/>
            </w:r>
            <w:r w:rsidR="00965DE2">
              <w:rPr>
                <w:noProof/>
                <w:webHidden/>
              </w:rPr>
              <w:fldChar w:fldCharType="begin"/>
            </w:r>
            <w:r w:rsidR="00965DE2">
              <w:rPr>
                <w:noProof/>
                <w:webHidden/>
              </w:rPr>
              <w:instrText xml:space="preserve"> PAGEREF _Toc72673582 \h </w:instrText>
            </w:r>
            <w:r w:rsidR="00965DE2">
              <w:rPr>
                <w:noProof/>
                <w:webHidden/>
              </w:rPr>
            </w:r>
            <w:r w:rsidR="00965DE2">
              <w:rPr>
                <w:noProof/>
                <w:webHidden/>
              </w:rPr>
              <w:fldChar w:fldCharType="separate"/>
            </w:r>
            <w:r w:rsidR="00965DE2">
              <w:rPr>
                <w:noProof/>
                <w:webHidden/>
              </w:rPr>
              <w:t>29</w:t>
            </w:r>
            <w:r w:rsidR="00965DE2">
              <w:rPr>
                <w:noProof/>
                <w:webHidden/>
              </w:rPr>
              <w:fldChar w:fldCharType="end"/>
            </w:r>
          </w:hyperlink>
        </w:p>
        <w:p w14:paraId="69CC116A" w14:textId="40CAFBEA" w:rsidR="00965DE2" w:rsidRDefault="00F42DD8">
          <w:pPr>
            <w:pStyle w:val="TOC3"/>
            <w:tabs>
              <w:tab w:val="left" w:pos="1100"/>
              <w:tab w:val="right" w:leader="dot" w:pos="9060"/>
            </w:tabs>
            <w:rPr>
              <w:rFonts w:eastAsiaTheme="minorEastAsia" w:cstheme="minorBidi"/>
              <w:i w:val="0"/>
              <w:iCs w:val="0"/>
              <w:noProof/>
              <w:sz w:val="22"/>
              <w:szCs w:val="22"/>
              <w:lang w:eastAsia="en-GB" w:bidi="ar-SA"/>
            </w:rPr>
          </w:pPr>
          <w:hyperlink w:anchor="_Toc72673583" w:history="1">
            <w:r w:rsidR="00965DE2" w:rsidRPr="007C740D">
              <w:rPr>
                <w:rStyle w:val="Hyperlink"/>
                <w:noProof/>
              </w:rPr>
              <w:t>2.6.1</w:t>
            </w:r>
            <w:r w:rsidR="00965DE2">
              <w:rPr>
                <w:rFonts w:eastAsiaTheme="minorEastAsia" w:cstheme="minorBidi"/>
                <w:i w:val="0"/>
                <w:iCs w:val="0"/>
                <w:noProof/>
                <w:sz w:val="22"/>
                <w:szCs w:val="22"/>
                <w:lang w:eastAsia="en-GB" w:bidi="ar-SA"/>
              </w:rPr>
              <w:tab/>
            </w:r>
            <w:r w:rsidR="00965DE2" w:rsidRPr="007C740D">
              <w:rPr>
                <w:rStyle w:val="Hyperlink"/>
                <w:noProof/>
              </w:rPr>
              <w:t xml:space="preserve">Section </w:t>
            </w:r>
            <w:r w:rsidR="00965DE2" w:rsidRPr="007C740D">
              <w:rPr>
                <w:rStyle w:val="Hyperlink"/>
                <w:rFonts w:cs="Arial"/>
                <w:noProof/>
              </w:rPr>
              <w:t>59</w:t>
            </w:r>
            <w:r w:rsidR="00965DE2">
              <w:rPr>
                <w:noProof/>
                <w:webHidden/>
              </w:rPr>
              <w:tab/>
            </w:r>
            <w:r w:rsidR="00965DE2">
              <w:rPr>
                <w:noProof/>
                <w:webHidden/>
              </w:rPr>
              <w:fldChar w:fldCharType="begin"/>
            </w:r>
            <w:r w:rsidR="00965DE2">
              <w:rPr>
                <w:noProof/>
                <w:webHidden/>
              </w:rPr>
              <w:instrText xml:space="preserve"> PAGEREF _Toc72673583 \h </w:instrText>
            </w:r>
            <w:r w:rsidR="00965DE2">
              <w:rPr>
                <w:noProof/>
                <w:webHidden/>
              </w:rPr>
            </w:r>
            <w:r w:rsidR="00965DE2">
              <w:rPr>
                <w:noProof/>
                <w:webHidden/>
              </w:rPr>
              <w:fldChar w:fldCharType="separate"/>
            </w:r>
            <w:r w:rsidR="00965DE2">
              <w:rPr>
                <w:noProof/>
                <w:webHidden/>
              </w:rPr>
              <w:t>29</w:t>
            </w:r>
            <w:r w:rsidR="00965DE2">
              <w:rPr>
                <w:noProof/>
                <w:webHidden/>
              </w:rPr>
              <w:fldChar w:fldCharType="end"/>
            </w:r>
          </w:hyperlink>
        </w:p>
        <w:p w14:paraId="54C50D89" w14:textId="67BC599B" w:rsidR="00965DE2" w:rsidRDefault="00F42DD8">
          <w:pPr>
            <w:pStyle w:val="TOC3"/>
            <w:tabs>
              <w:tab w:val="left" w:pos="1100"/>
              <w:tab w:val="right" w:leader="dot" w:pos="9060"/>
            </w:tabs>
            <w:rPr>
              <w:rFonts w:eastAsiaTheme="minorEastAsia" w:cstheme="minorBidi"/>
              <w:i w:val="0"/>
              <w:iCs w:val="0"/>
              <w:noProof/>
              <w:sz w:val="22"/>
              <w:szCs w:val="22"/>
              <w:lang w:eastAsia="en-GB" w:bidi="ar-SA"/>
            </w:rPr>
          </w:pPr>
          <w:hyperlink w:anchor="_Toc72673584" w:history="1">
            <w:r w:rsidR="00965DE2" w:rsidRPr="007C740D">
              <w:rPr>
                <w:rStyle w:val="Hyperlink"/>
                <w:noProof/>
              </w:rPr>
              <w:t>2.6.2</w:t>
            </w:r>
            <w:r w:rsidR="00965DE2">
              <w:rPr>
                <w:rFonts w:eastAsiaTheme="minorEastAsia" w:cstheme="minorBidi"/>
                <w:i w:val="0"/>
                <w:iCs w:val="0"/>
                <w:noProof/>
                <w:sz w:val="22"/>
                <w:szCs w:val="22"/>
                <w:lang w:eastAsia="en-GB" w:bidi="ar-SA"/>
              </w:rPr>
              <w:tab/>
            </w:r>
            <w:r w:rsidR="00965DE2" w:rsidRPr="007C740D">
              <w:rPr>
                <w:rStyle w:val="Hyperlink"/>
                <w:noProof/>
              </w:rPr>
              <w:t>Subsection 18(1)</w:t>
            </w:r>
            <w:r w:rsidR="00965DE2">
              <w:rPr>
                <w:noProof/>
                <w:webHidden/>
              </w:rPr>
              <w:tab/>
            </w:r>
            <w:r w:rsidR="00965DE2">
              <w:rPr>
                <w:noProof/>
                <w:webHidden/>
              </w:rPr>
              <w:fldChar w:fldCharType="begin"/>
            </w:r>
            <w:r w:rsidR="00965DE2">
              <w:rPr>
                <w:noProof/>
                <w:webHidden/>
              </w:rPr>
              <w:instrText xml:space="preserve"> PAGEREF _Toc72673584 \h </w:instrText>
            </w:r>
            <w:r w:rsidR="00965DE2">
              <w:rPr>
                <w:noProof/>
                <w:webHidden/>
              </w:rPr>
            </w:r>
            <w:r w:rsidR="00965DE2">
              <w:rPr>
                <w:noProof/>
                <w:webHidden/>
              </w:rPr>
              <w:fldChar w:fldCharType="separate"/>
            </w:r>
            <w:r w:rsidR="00965DE2">
              <w:rPr>
                <w:noProof/>
                <w:webHidden/>
              </w:rPr>
              <w:t>30</w:t>
            </w:r>
            <w:r w:rsidR="00965DE2">
              <w:rPr>
                <w:noProof/>
                <w:webHidden/>
              </w:rPr>
              <w:fldChar w:fldCharType="end"/>
            </w:r>
          </w:hyperlink>
        </w:p>
        <w:p w14:paraId="26A52E8B" w14:textId="68768E9E" w:rsidR="00965DE2" w:rsidRDefault="00F42DD8">
          <w:pPr>
            <w:pStyle w:val="TOC3"/>
            <w:tabs>
              <w:tab w:val="left" w:pos="1100"/>
              <w:tab w:val="right" w:leader="dot" w:pos="9060"/>
            </w:tabs>
            <w:rPr>
              <w:rFonts w:eastAsiaTheme="minorEastAsia" w:cstheme="minorBidi"/>
              <w:i w:val="0"/>
              <w:iCs w:val="0"/>
              <w:noProof/>
              <w:sz w:val="22"/>
              <w:szCs w:val="22"/>
              <w:lang w:eastAsia="en-GB" w:bidi="ar-SA"/>
            </w:rPr>
          </w:pPr>
          <w:hyperlink w:anchor="_Toc72673585" w:history="1">
            <w:r w:rsidR="00965DE2" w:rsidRPr="007C740D">
              <w:rPr>
                <w:rStyle w:val="Hyperlink"/>
                <w:noProof/>
              </w:rPr>
              <w:t>2.6.3</w:t>
            </w:r>
            <w:r w:rsidR="00965DE2">
              <w:rPr>
                <w:rFonts w:eastAsiaTheme="minorEastAsia" w:cstheme="minorBidi"/>
                <w:i w:val="0"/>
                <w:iCs w:val="0"/>
                <w:noProof/>
                <w:sz w:val="22"/>
                <w:szCs w:val="22"/>
                <w:lang w:eastAsia="en-GB" w:bidi="ar-SA"/>
              </w:rPr>
              <w:tab/>
            </w:r>
            <w:r w:rsidR="00965DE2" w:rsidRPr="007C740D">
              <w:rPr>
                <w:rStyle w:val="Hyperlink"/>
                <w:noProof/>
              </w:rPr>
              <w:t>Subsection 18(2) considerations</w:t>
            </w:r>
            <w:r w:rsidR="00965DE2">
              <w:rPr>
                <w:noProof/>
                <w:webHidden/>
              </w:rPr>
              <w:tab/>
            </w:r>
            <w:r w:rsidR="00965DE2">
              <w:rPr>
                <w:noProof/>
                <w:webHidden/>
              </w:rPr>
              <w:fldChar w:fldCharType="begin"/>
            </w:r>
            <w:r w:rsidR="00965DE2">
              <w:rPr>
                <w:noProof/>
                <w:webHidden/>
              </w:rPr>
              <w:instrText xml:space="preserve"> PAGEREF _Toc72673585 \h </w:instrText>
            </w:r>
            <w:r w:rsidR="00965DE2">
              <w:rPr>
                <w:noProof/>
                <w:webHidden/>
              </w:rPr>
            </w:r>
            <w:r w:rsidR="00965DE2">
              <w:rPr>
                <w:noProof/>
                <w:webHidden/>
              </w:rPr>
              <w:fldChar w:fldCharType="separate"/>
            </w:r>
            <w:r w:rsidR="00965DE2">
              <w:rPr>
                <w:noProof/>
                <w:webHidden/>
              </w:rPr>
              <w:t>31</w:t>
            </w:r>
            <w:r w:rsidR="00965DE2">
              <w:rPr>
                <w:noProof/>
                <w:webHidden/>
              </w:rPr>
              <w:fldChar w:fldCharType="end"/>
            </w:r>
          </w:hyperlink>
        </w:p>
        <w:p w14:paraId="29F741F2" w14:textId="6F19909B" w:rsidR="00965DE2" w:rsidRDefault="00F42DD8">
          <w:pPr>
            <w:pStyle w:val="TOC1"/>
            <w:tabs>
              <w:tab w:val="left" w:pos="440"/>
              <w:tab w:val="right" w:leader="dot" w:pos="9060"/>
            </w:tabs>
            <w:rPr>
              <w:rFonts w:eastAsiaTheme="minorEastAsia" w:cstheme="minorBidi"/>
              <w:b w:val="0"/>
              <w:bCs w:val="0"/>
              <w:caps w:val="0"/>
              <w:noProof/>
              <w:sz w:val="22"/>
              <w:szCs w:val="22"/>
              <w:lang w:eastAsia="en-GB" w:bidi="ar-SA"/>
            </w:rPr>
          </w:pPr>
          <w:hyperlink w:anchor="_Toc72673586" w:history="1">
            <w:r w:rsidR="00965DE2" w:rsidRPr="007C740D">
              <w:rPr>
                <w:rStyle w:val="Hyperlink"/>
                <w:noProof/>
              </w:rPr>
              <w:t>3</w:t>
            </w:r>
            <w:r w:rsidR="00965DE2">
              <w:rPr>
                <w:rFonts w:eastAsiaTheme="minorEastAsia" w:cstheme="minorBidi"/>
                <w:b w:val="0"/>
                <w:bCs w:val="0"/>
                <w:caps w:val="0"/>
                <w:noProof/>
                <w:sz w:val="22"/>
                <w:szCs w:val="22"/>
                <w:lang w:eastAsia="en-GB" w:bidi="ar-SA"/>
              </w:rPr>
              <w:tab/>
            </w:r>
            <w:r w:rsidR="00965DE2" w:rsidRPr="007C740D">
              <w:rPr>
                <w:rStyle w:val="Hyperlink"/>
                <w:noProof/>
              </w:rPr>
              <w:t>Draft variation</w:t>
            </w:r>
            <w:r w:rsidR="00965DE2">
              <w:rPr>
                <w:noProof/>
                <w:webHidden/>
              </w:rPr>
              <w:tab/>
            </w:r>
            <w:r w:rsidR="00965DE2">
              <w:rPr>
                <w:noProof/>
                <w:webHidden/>
              </w:rPr>
              <w:fldChar w:fldCharType="begin"/>
            </w:r>
            <w:r w:rsidR="00965DE2">
              <w:rPr>
                <w:noProof/>
                <w:webHidden/>
              </w:rPr>
              <w:instrText xml:space="preserve"> PAGEREF _Toc72673586 \h </w:instrText>
            </w:r>
            <w:r w:rsidR="00965DE2">
              <w:rPr>
                <w:noProof/>
                <w:webHidden/>
              </w:rPr>
            </w:r>
            <w:r w:rsidR="00965DE2">
              <w:rPr>
                <w:noProof/>
                <w:webHidden/>
              </w:rPr>
              <w:fldChar w:fldCharType="separate"/>
            </w:r>
            <w:r w:rsidR="00965DE2">
              <w:rPr>
                <w:noProof/>
                <w:webHidden/>
              </w:rPr>
              <w:t>32</w:t>
            </w:r>
            <w:r w:rsidR="00965DE2">
              <w:rPr>
                <w:noProof/>
                <w:webHidden/>
              </w:rPr>
              <w:fldChar w:fldCharType="end"/>
            </w:r>
          </w:hyperlink>
        </w:p>
        <w:p w14:paraId="0DA9A447" w14:textId="402B95CA" w:rsidR="00965DE2" w:rsidRDefault="00F42DD8">
          <w:pPr>
            <w:pStyle w:val="TOC3"/>
            <w:tabs>
              <w:tab w:val="left" w:pos="1100"/>
              <w:tab w:val="right" w:leader="dot" w:pos="9060"/>
            </w:tabs>
            <w:rPr>
              <w:rFonts w:eastAsiaTheme="minorEastAsia" w:cstheme="minorBidi"/>
              <w:i w:val="0"/>
              <w:iCs w:val="0"/>
              <w:noProof/>
              <w:sz w:val="22"/>
              <w:szCs w:val="22"/>
              <w:lang w:eastAsia="en-GB" w:bidi="ar-SA"/>
            </w:rPr>
          </w:pPr>
          <w:hyperlink w:anchor="_Toc72673587" w:history="1">
            <w:r w:rsidR="00965DE2" w:rsidRPr="007C740D">
              <w:rPr>
                <w:rStyle w:val="Hyperlink"/>
                <w:noProof/>
              </w:rPr>
              <w:t>3.1</w:t>
            </w:r>
            <w:r w:rsidR="00965DE2">
              <w:rPr>
                <w:rFonts w:eastAsiaTheme="minorEastAsia" w:cstheme="minorBidi"/>
                <w:i w:val="0"/>
                <w:iCs w:val="0"/>
                <w:noProof/>
                <w:sz w:val="22"/>
                <w:szCs w:val="22"/>
                <w:lang w:eastAsia="en-GB" w:bidi="ar-SA"/>
              </w:rPr>
              <w:tab/>
            </w:r>
            <w:r w:rsidR="00965DE2" w:rsidRPr="007C740D">
              <w:rPr>
                <w:rStyle w:val="Hyperlink"/>
                <w:noProof/>
              </w:rPr>
              <w:t>Transitional arrangements</w:t>
            </w:r>
            <w:r w:rsidR="00965DE2">
              <w:rPr>
                <w:noProof/>
                <w:webHidden/>
              </w:rPr>
              <w:tab/>
            </w:r>
            <w:r w:rsidR="00965DE2">
              <w:rPr>
                <w:noProof/>
                <w:webHidden/>
              </w:rPr>
              <w:fldChar w:fldCharType="begin"/>
            </w:r>
            <w:r w:rsidR="00965DE2">
              <w:rPr>
                <w:noProof/>
                <w:webHidden/>
              </w:rPr>
              <w:instrText xml:space="preserve"> PAGEREF _Toc72673587 \h </w:instrText>
            </w:r>
            <w:r w:rsidR="00965DE2">
              <w:rPr>
                <w:noProof/>
                <w:webHidden/>
              </w:rPr>
            </w:r>
            <w:r w:rsidR="00965DE2">
              <w:rPr>
                <w:noProof/>
                <w:webHidden/>
              </w:rPr>
              <w:fldChar w:fldCharType="separate"/>
            </w:r>
            <w:r w:rsidR="00965DE2">
              <w:rPr>
                <w:noProof/>
                <w:webHidden/>
              </w:rPr>
              <w:t>32</w:t>
            </w:r>
            <w:r w:rsidR="00965DE2">
              <w:rPr>
                <w:noProof/>
                <w:webHidden/>
              </w:rPr>
              <w:fldChar w:fldCharType="end"/>
            </w:r>
          </w:hyperlink>
        </w:p>
        <w:p w14:paraId="400FF695" w14:textId="49703654" w:rsidR="00965DE2" w:rsidRDefault="00F42DD8">
          <w:pPr>
            <w:pStyle w:val="TOC3"/>
            <w:tabs>
              <w:tab w:val="left" w:pos="1100"/>
              <w:tab w:val="right" w:leader="dot" w:pos="9060"/>
            </w:tabs>
            <w:rPr>
              <w:rFonts w:eastAsiaTheme="minorEastAsia" w:cstheme="minorBidi"/>
              <w:i w:val="0"/>
              <w:iCs w:val="0"/>
              <w:noProof/>
              <w:sz w:val="22"/>
              <w:szCs w:val="22"/>
              <w:lang w:eastAsia="en-GB" w:bidi="ar-SA"/>
            </w:rPr>
          </w:pPr>
          <w:hyperlink w:anchor="_Toc72673588" w:history="1">
            <w:r w:rsidR="00965DE2" w:rsidRPr="007C740D">
              <w:rPr>
                <w:rStyle w:val="Hyperlink"/>
                <w:noProof/>
              </w:rPr>
              <w:t>3.2</w:t>
            </w:r>
            <w:r w:rsidR="00965DE2">
              <w:rPr>
                <w:rFonts w:eastAsiaTheme="minorEastAsia" w:cstheme="minorBidi"/>
                <w:i w:val="0"/>
                <w:iCs w:val="0"/>
                <w:noProof/>
                <w:sz w:val="22"/>
                <w:szCs w:val="22"/>
                <w:lang w:eastAsia="en-GB" w:bidi="ar-SA"/>
              </w:rPr>
              <w:tab/>
            </w:r>
            <w:r w:rsidR="00965DE2" w:rsidRPr="007C740D">
              <w:rPr>
                <w:rStyle w:val="Hyperlink"/>
                <w:noProof/>
              </w:rPr>
              <w:t>Implementation and review</w:t>
            </w:r>
            <w:r w:rsidR="00965DE2">
              <w:rPr>
                <w:noProof/>
                <w:webHidden/>
              </w:rPr>
              <w:tab/>
            </w:r>
            <w:r w:rsidR="00965DE2">
              <w:rPr>
                <w:noProof/>
                <w:webHidden/>
              </w:rPr>
              <w:fldChar w:fldCharType="begin"/>
            </w:r>
            <w:r w:rsidR="00965DE2">
              <w:rPr>
                <w:noProof/>
                <w:webHidden/>
              </w:rPr>
              <w:instrText xml:space="preserve"> PAGEREF _Toc72673588 \h </w:instrText>
            </w:r>
            <w:r w:rsidR="00965DE2">
              <w:rPr>
                <w:noProof/>
                <w:webHidden/>
              </w:rPr>
            </w:r>
            <w:r w:rsidR="00965DE2">
              <w:rPr>
                <w:noProof/>
                <w:webHidden/>
              </w:rPr>
              <w:fldChar w:fldCharType="separate"/>
            </w:r>
            <w:r w:rsidR="00965DE2">
              <w:rPr>
                <w:noProof/>
                <w:webHidden/>
              </w:rPr>
              <w:t>32</w:t>
            </w:r>
            <w:r w:rsidR="00965DE2">
              <w:rPr>
                <w:noProof/>
                <w:webHidden/>
              </w:rPr>
              <w:fldChar w:fldCharType="end"/>
            </w:r>
          </w:hyperlink>
        </w:p>
        <w:p w14:paraId="3F739436" w14:textId="58C22ACA" w:rsidR="00965DE2" w:rsidRDefault="00F42DD8">
          <w:pPr>
            <w:pStyle w:val="TOC1"/>
            <w:tabs>
              <w:tab w:val="left" w:pos="440"/>
              <w:tab w:val="right" w:leader="dot" w:pos="9060"/>
            </w:tabs>
            <w:rPr>
              <w:rFonts w:eastAsiaTheme="minorEastAsia" w:cstheme="minorBidi"/>
              <w:b w:val="0"/>
              <w:bCs w:val="0"/>
              <w:caps w:val="0"/>
              <w:noProof/>
              <w:sz w:val="22"/>
              <w:szCs w:val="22"/>
              <w:lang w:eastAsia="en-GB" w:bidi="ar-SA"/>
            </w:rPr>
          </w:pPr>
          <w:hyperlink w:anchor="_Toc72673589" w:history="1">
            <w:r w:rsidR="00965DE2" w:rsidRPr="007C740D">
              <w:rPr>
                <w:rStyle w:val="Hyperlink"/>
                <w:noProof/>
              </w:rPr>
              <w:t>4</w:t>
            </w:r>
            <w:r w:rsidR="00965DE2">
              <w:rPr>
                <w:rFonts w:eastAsiaTheme="minorEastAsia" w:cstheme="minorBidi"/>
                <w:b w:val="0"/>
                <w:bCs w:val="0"/>
                <w:caps w:val="0"/>
                <w:noProof/>
                <w:sz w:val="22"/>
                <w:szCs w:val="22"/>
                <w:lang w:eastAsia="en-GB" w:bidi="ar-SA"/>
              </w:rPr>
              <w:tab/>
            </w:r>
            <w:r w:rsidR="00965DE2" w:rsidRPr="007C740D">
              <w:rPr>
                <w:rStyle w:val="Hyperlink"/>
                <w:noProof/>
              </w:rPr>
              <w:t>References</w:t>
            </w:r>
            <w:r w:rsidR="00965DE2">
              <w:rPr>
                <w:noProof/>
                <w:webHidden/>
              </w:rPr>
              <w:tab/>
            </w:r>
            <w:r w:rsidR="00965DE2">
              <w:rPr>
                <w:noProof/>
                <w:webHidden/>
              </w:rPr>
              <w:fldChar w:fldCharType="begin"/>
            </w:r>
            <w:r w:rsidR="00965DE2">
              <w:rPr>
                <w:noProof/>
                <w:webHidden/>
              </w:rPr>
              <w:instrText xml:space="preserve"> PAGEREF _Toc72673589 \h </w:instrText>
            </w:r>
            <w:r w:rsidR="00965DE2">
              <w:rPr>
                <w:noProof/>
                <w:webHidden/>
              </w:rPr>
            </w:r>
            <w:r w:rsidR="00965DE2">
              <w:rPr>
                <w:noProof/>
                <w:webHidden/>
              </w:rPr>
              <w:fldChar w:fldCharType="separate"/>
            </w:r>
            <w:r w:rsidR="00965DE2">
              <w:rPr>
                <w:noProof/>
                <w:webHidden/>
              </w:rPr>
              <w:t>32</w:t>
            </w:r>
            <w:r w:rsidR="00965DE2">
              <w:rPr>
                <w:noProof/>
                <w:webHidden/>
              </w:rPr>
              <w:fldChar w:fldCharType="end"/>
            </w:r>
          </w:hyperlink>
        </w:p>
        <w:p w14:paraId="5009AC8A" w14:textId="0E8DEFFB" w:rsidR="00965DE2" w:rsidRDefault="00F42DD8">
          <w:pPr>
            <w:pStyle w:val="TOC2"/>
            <w:tabs>
              <w:tab w:val="right" w:leader="dot" w:pos="9060"/>
            </w:tabs>
            <w:rPr>
              <w:rFonts w:eastAsiaTheme="minorEastAsia" w:cstheme="minorBidi"/>
              <w:smallCaps w:val="0"/>
              <w:noProof/>
              <w:sz w:val="22"/>
              <w:szCs w:val="22"/>
              <w:lang w:eastAsia="en-GB" w:bidi="ar-SA"/>
            </w:rPr>
          </w:pPr>
          <w:hyperlink w:anchor="_Toc72673590" w:history="1">
            <w:r w:rsidR="00965DE2" w:rsidRPr="007C740D">
              <w:rPr>
                <w:rStyle w:val="Hyperlink"/>
                <w:noProof/>
              </w:rPr>
              <w:t>Appendix 1 – EU Health Claims for Electrolyte Drinks</w:t>
            </w:r>
            <w:r w:rsidR="00965DE2">
              <w:rPr>
                <w:noProof/>
                <w:webHidden/>
              </w:rPr>
              <w:tab/>
            </w:r>
            <w:r w:rsidR="00965DE2">
              <w:rPr>
                <w:noProof/>
                <w:webHidden/>
              </w:rPr>
              <w:fldChar w:fldCharType="begin"/>
            </w:r>
            <w:r w:rsidR="00965DE2">
              <w:rPr>
                <w:noProof/>
                <w:webHidden/>
              </w:rPr>
              <w:instrText xml:space="preserve"> PAGEREF _Toc72673590 \h </w:instrText>
            </w:r>
            <w:r w:rsidR="00965DE2">
              <w:rPr>
                <w:noProof/>
                <w:webHidden/>
              </w:rPr>
            </w:r>
            <w:r w:rsidR="00965DE2">
              <w:rPr>
                <w:noProof/>
                <w:webHidden/>
              </w:rPr>
              <w:fldChar w:fldCharType="separate"/>
            </w:r>
            <w:r w:rsidR="00965DE2">
              <w:rPr>
                <w:noProof/>
                <w:webHidden/>
              </w:rPr>
              <w:t>34</w:t>
            </w:r>
            <w:r w:rsidR="00965DE2">
              <w:rPr>
                <w:noProof/>
                <w:webHidden/>
              </w:rPr>
              <w:fldChar w:fldCharType="end"/>
            </w:r>
          </w:hyperlink>
        </w:p>
        <w:p w14:paraId="1E2D0A91" w14:textId="3E884206" w:rsidR="00965DE2" w:rsidRDefault="00F42DD8">
          <w:pPr>
            <w:pStyle w:val="TOC2"/>
            <w:tabs>
              <w:tab w:val="right" w:leader="dot" w:pos="9060"/>
            </w:tabs>
            <w:rPr>
              <w:rFonts w:eastAsiaTheme="minorEastAsia" w:cstheme="minorBidi"/>
              <w:smallCaps w:val="0"/>
              <w:noProof/>
              <w:sz w:val="22"/>
              <w:szCs w:val="22"/>
              <w:lang w:eastAsia="en-GB" w:bidi="ar-SA"/>
            </w:rPr>
          </w:pPr>
          <w:hyperlink w:anchor="_Toc72673591" w:history="1">
            <w:r w:rsidR="00965DE2" w:rsidRPr="007C740D">
              <w:rPr>
                <w:rStyle w:val="Hyperlink"/>
                <w:noProof/>
              </w:rPr>
              <w:t>Attachment A – Example Amended Draft variation to the Australia New Zealand Food Standards Code</w:t>
            </w:r>
            <w:r w:rsidR="00965DE2">
              <w:rPr>
                <w:noProof/>
                <w:webHidden/>
              </w:rPr>
              <w:tab/>
            </w:r>
            <w:r w:rsidR="00965DE2">
              <w:rPr>
                <w:noProof/>
                <w:webHidden/>
              </w:rPr>
              <w:fldChar w:fldCharType="begin"/>
            </w:r>
            <w:r w:rsidR="00965DE2">
              <w:rPr>
                <w:noProof/>
                <w:webHidden/>
              </w:rPr>
              <w:instrText xml:space="preserve"> PAGEREF _Toc72673591 \h </w:instrText>
            </w:r>
            <w:r w:rsidR="00965DE2">
              <w:rPr>
                <w:noProof/>
                <w:webHidden/>
              </w:rPr>
            </w:r>
            <w:r w:rsidR="00965DE2">
              <w:rPr>
                <w:noProof/>
                <w:webHidden/>
              </w:rPr>
              <w:fldChar w:fldCharType="separate"/>
            </w:r>
            <w:r w:rsidR="00965DE2">
              <w:rPr>
                <w:noProof/>
                <w:webHidden/>
              </w:rPr>
              <w:t>37</w:t>
            </w:r>
            <w:r w:rsidR="00965DE2">
              <w:rPr>
                <w:noProof/>
                <w:webHidden/>
              </w:rPr>
              <w:fldChar w:fldCharType="end"/>
            </w:r>
          </w:hyperlink>
        </w:p>
        <w:p w14:paraId="40FB2DC0" w14:textId="3F93EABB" w:rsidR="00965DE2" w:rsidRDefault="00F42DD8">
          <w:pPr>
            <w:pStyle w:val="TOC2"/>
            <w:tabs>
              <w:tab w:val="right" w:leader="dot" w:pos="9060"/>
            </w:tabs>
            <w:rPr>
              <w:rFonts w:eastAsiaTheme="minorEastAsia" w:cstheme="minorBidi"/>
              <w:smallCaps w:val="0"/>
              <w:noProof/>
              <w:sz w:val="22"/>
              <w:szCs w:val="22"/>
              <w:lang w:eastAsia="en-GB" w:bidi="ar-SA"/>
            </w:rPr>
          </w:pPr>
          <w:hyperlink w:anchor="_Toc72673592" w:history="1">
            <w:r w:rsidR="00965DE2" w:rsidRPr="007C740D">
              <w:rPr>
                <w:rStyle w:val="Hyperlink"/>
                <w:noProof/>
              </w:rPr>
              <w:t>Attachment B – Draft Explanatory Statement (example only)</w:t>
            </w:r>
            <w:r w:rsidR="00965DE2">
              <w:rPr>
                <w:noProof/>
                <w:webHidden/>
              </w:rPr>
              <w:tab/>
            </w:r>
            <w:r w:rsidR="00965DE2">
              <w:rPr>
                <w:noProof/>
                <w:webHidden/>
              </w:rPr>
              <w:fldChar w:fldCharType="begin"/>
            </w:r>
            <w:r w:rsidR="00965DE2">
              <w:rPr>
                <w:noProof/>
                <w:webHidden/>
              </w:rPr>
              <w:instrText xml:space="preserve"> PAGEREF _Toc72673592 \h </w:instrText>
            </w:r>
            <w:r w:rsidR="00965DE2">
              <w:rPr>
                <w:noProof/>
                <w:webHidden/>
              </w:rPr>
            </w:r>
            <w:r w:rsidR="00965DE2">
              <w:rPr>
                <w:noProof/>
                <w:webHidden/>
              </w:rPr>
              <w:fldChar w:fldCharType="separate"/>
            </w:r>
            <w:r w:rsidR="00965DE2">
              <w:rPr>
                <w:noProof/>
                <w:webHidden/>
              </w:rPr>
              <w:t>45</w:t>
            </w:r>
            <w:r w:rsidR="00965DE2">
              <w:rPr>
                <w:noProof/>
                <w:webHidden/>
              </w:rPr>
              <w:fldChar w:fldCharType="end"/>
            </w:r>
          </w:hyperlink>
        </w:p>
        <w:p w14:paraId="7F16E6C1" w14:textId="3A3684EC" w:rsidR="00965DE2" w:rsidRDefault="00F42DD8">
          <w:pPr>
            <w:pStyle w:val="TOC2"/>
            <w:tabs>
              <w:tab w:val="right" w:leader="dot" w:pos="9060"/>
            </w:tabs>
            <w:rPr>
              <w:rFonts w:eastAsiaTheme="minorEastAsia" w:cstheme="minorBidi"/>
              <w:smallCaps w:val="0"/>
              <w:noProof/>
              <w:sz w:val="22"/>
              <w:szCs w:val="22"/>
              <w:lang w:eastAsia="en-GB" w:bidi="ar-SA"/>
            </w:rPr>
          </w:pPr>
          <w:hyperlink w:anchor="_Toc72673593" w:history="1">
            <w:r w:rsidR="00965DE2" w:rsidRPr="007C740D">
              <w:rPr>
                <w:rStyle w:val="Hyperlink"/>
                <w:noProof/>
              </w:rPr>
              <w:t>Attachment C – Draft variation to the Australia New Zealand Food Standards Code at call for submissions</w:t>
            </w:r>
            <w:r w:rsidR="00965DE2">
              <w:rPr>
                <w:noProof/>
                <w:webHidden/>
              </w:rPr>
              <w:tab/>
            </w:r>
            <w:r w:rsidR="00965DE2">
              <w:rPr>
                <w:noProof/>
                <w:webHidden/>
              </w:rPr>
              <w:fldChar w:fldCharType="begin"/>
            </w:r>
            <w:r w:rsidR="00965DE2">
              <w:rPr>
                <w:noProof/>
                <w:webHidden/>
              </w:rPr>
              <w:instrText xml:space="preserve"> PAGEREF _Toc72673593 \h </w:instrText>
            </w:r>
            <w:r w:rsidR="00965DE2">
              <w:rPr>
                <w:noProof/>
                <w:webHidden/>
              </w:rPr>
            </w:r>
            <w:r w:rsidR="00965DE2">
              <w:rPr>
                <w:noProof/>
                <w:webHidden/>
              </w:rPr>
              <w:fldChar w:fldCharType="separate"/>
            </w:r>
            <w:r w:rsidR="00965DE2">
              <w:rPr>
                <w:noProof/>
                <w:webHidden/>
              </w:rPr>
              <w:t>53</w:t>
            </w:r>
            <w:r w:rsidR="00965DE2">
              <w:rPr>
                <w:noProof/>
                <w:webHidden/>
              </w:rPr>
              <w:fldChar w:fldCharType="end"/>
            </w:r>
          </w:hyperlink>
        </w:p>
        <w:p w14:paraId="2C9F694F" w14:textId="393E984B" w:rsidR="00965DE2" w:rsidRDefault="00F42DD8">
          <w:pPr>
            <w:pStyle w:val="TOC2"/>
            <w:tabs>
              <w:tab w:val="right" w:leader="dot" w:pos="9060"/>
            </w:tabs>
            <w:rPr>
              <w:rFonts w:eastAsiaTheme="minorEastAsia" w:cstheme="minorBidi"/>
              <w:smallCaps w:val="0"/>
              <w:noProof/>
              <w:sz w:val="22"/>
              <w:szCs w:val="22"/>
              <w:lang w:eastAsia="en-GB" w:bidi="ar-SA"/>
            </w:rPr>
          </w:pPr>
          <w:hyperlink w:anchor="_Toc72673594" w:history="1">
            <w:r w:rsidR="00965DE2" w:rsidRPr="007C740D">
              <w:rPr>
                <w:rStyle w:val="Hyperlink"/>
                <w:noProof/>
              </w:rPr>
              <w:t>Attachment D – Draft Explanatory Statement at call for submissions</w:t>
            </w:r>
            <w:r w:rsidR="00965DE2">
              <w:rPr>
                <w:noProof/>
                <w:webHidden/>
              </w:rPr>
              <w:tab/>
            </w:r>
            <w:r w:rsidR="00965DE2">
              <w:rPr>
                <w:noProof/>
                <w:webHidden/>
              </w:rPr>
              <w:fldChar w:fldCharType="begin"/>
            </w:r>
            <w:r w:rsidR="00965DE2">
              <w:rPr>
                <w:noProof/>
                <w:webHidden/>
              </w:rPr>
              <w:instrText xml:space="preserve"> PAGEREF _Toc72673594 \h </w:instrText>
            </w:r>
            <w:r w:rsidR="00965DE2">
              <w:rPr>
                <w:noProof/>
                <w:webHidden/>
              </w:rPr>
            </w:r>
            <w:r w:rsidR="00965DE2">
              <w:rPr>
                <w:noProof/>
                <w:webHidden/>
              </w:rPr>
              <w:fldChar w:fldCharType="separate"/>
            </w:r>
            <w:r w:rsidR="00965DE2">
              <w:rPr>
                <w:noProof/>
                <w:webHidden/>
              </w:rPr>
              <w:t>60</w:t>
            </w:r>
            <w:r w:rsidR="00965DE2">
              <w:rPr>
                <w:noProof/>
                <w:webHidden/>
              </w:rPr>
              <w:fldChar w:fldCharType="end"/>
            </w:r>
          </w:hyperlink>
        </w:p>
        <w:p w14:paraId="19563407" w14:textId="64A29043" w:rsidR="00051ED9" w:rsidRDefault="0085457E" w:rsidP="00E71980">
          <w:r>
            <w:rPr>
              <w:b/>
              <w:bCs/>
              <w:noProof/>
            </w:rPr>
            <w:fldChar w:fldCharType="end"/>
          </w:r>
        </w:p>
      </w:sdtContent>
    </w:sdt>
    <w:p w14:paraId="3F905EB0" w14:textId="0D1A09E1" w:rsidR="00E71980" w:rsidRPr="00E71980" w:rsidRDefault="00E71980" w:rsidP="00E71980">
      <w:pPr>
        <w:widowControl/>
        <w:autoSpaceDE w:val="0"/>
        <w:autoSpaceDN w:val="0"/>
        <w:adjustRightInd w:val="0"/>
        <w:rPr>
          <w:rFonts w:cs="Arial"/>
          <w:color w:val="000000"/>
          <w:szCs w:val="22"/>
          <w:lang w:eastAsia="en-GB" w:bidi="ar-SA"/>
        </w:rPr>
      </w:pPr>
      <w:r>
        <w:rPr>
          <w:rFonts w:cs="Arial"/>
          <w:b/>
          <w:bCs/>
          <w:color w:val="000000"/>
          <w:szCs w:val="22"/>
          <w:lang w:eastAsia="en-GB" w:bidi="ar-SA"/>
        </w:rPr>
        <w:t>Supporting document</w:t>
      </w:r>
      <w:r w:rsidRPr="00E71980">
        <w:rPr>
          <w:rFonts w:cs="Arial"/>
          <w:b/>
          <w:bCs/>
          <w:color w:val="000000"/>
          <w:szCs w:val="22"/>
          <w:lang w:eastAsia="en-GB" w:bidi="ar-SA"/>
        </w:rPr>
        <w:t xml:space="preserve"> </w:t>
      </w:r>
    </w:p>
    <w:p w14:paraId="115E0953" w14:textId="77777777" w:rsidR="0033449B" w:rsidRDefault="0033449B" w:rsidP="00E71980">
      <w:pPr>
        <w:widowControl/>
        <w:autoSpaceDE w:val="0"/>
        <w:autoSpaceDN w:val="0"/>
        <w:adjustRightInd w:val="0"/>
        <w:rPr>
          <w:rFonts w:cs="Arial"/>
          <w:color w:val="000000"/>
          <w:szCs w:val="22"/>
          <w:lang w:eastAsia="en-GB" w:bidi="ar-SA"/>
        </w:rPr>
      </w:pPr>
    </w:p>
    <w:p w14:paraId="208D6DDE" w14:textId="4BB3319E" w:rsidR="00E71980" w:rsidRDefault="00E71980" w:rsidP="00E71980">
      <w:pPr>
        <w:widowControl/>
        <w:autoSpaceDE w:val="0"/>
        <w:autoSpaceDN w:val="0"/>
        <w:adjustRightInd w:val="0"/>
        <w:rPr>
          <w:rFonts w:cs="Arial"/>
          <w:color w:val="000000"/>
          <w:szCs w:val="22"/>
          <w:lang w:eastAsia="en-GB" w:bidi="ar-SA"/>
        </w:rPr>
      </w:pPr>
      <w:r>
        <w:rPr>
          <w:rFonts w:cs="Arial"/>
          <w:color w:val="000000"/>
          <w:szCs w:val="22"/>
          <w:lang w:eastAsia="en-GB" w:bidi="ar-SA"/>
        </w:rPr>
        <w:t xml:space="preserve">The </w:t>
      </w:r>
      <w:r w:rsidRPr="00766E16">
        <w:rPr>
          <w:rFonts w:cs="Arial"/>
          <w:szCs w:val="22"/>
          <w:lang w:eastAsia="en-GB" w:bidi="ar-SA"/>
        </w:rPr>
        <w:t>following document</w:t>
      </w:r>
      <w:r w:rsidR="0033449B">
        <w:rPr>
          <w:rFonts w:cs="Arial"/>
          <w:color w:val="000000"/>
          <w:szCs w:val="22"/>
          <w:lang w:eastAsia="en-GB" w:bidi="ar-SA"/>
        </w:rPr>
        <w:t xml:space="preserve"> which</w:t>
      </w:r>
      <w:r w:rsidRPr="00E71980">
        <w:rPr>
          <w:rFonts w:cs="Arial"/>
          <w:color w:val="000000"/>
          <w:szCs w:val="22"/>
          <w:lang w:eastAsia="en-GB" w:bidi="ar-SA"/>
        </w:rPr>
        <w:t xml:space="preserve"> informed the assessment of this proposal </w:t>
      </w:r>
      <w:r>
        <w:rPr>
          <w:rFonts w:cs="Arial"/>
          <w:color w:val="000000"/>
          <w:szCs w:val="22"/>
          <w:lang w:eastAsia="en-GB" w:bidi="ar-SA"/>
        </w:rPr>
        <w:t>is</w:t>
      </w:r>
      <w:r w:rsidRPr="00E71980">
        <w:rPr>
          <w:rFonts w:cs="Arial"/>
          <w:color w:val="000000"/>
          <w:szCs w:val="22"/>
          <w:lang w:eastAsia="en-GB" w:bidi="ar-SA"/>
        </w:rPr>
        <w:t xml:space="preserve"> available on the </w:t>
      </w:r>
      <w:r w:rsidRPr="0000648D">
        <w:rPr>
          <w:rFonts w:cs="Arial"/>
          <w:color w:val="000000"/>
          <w:szCs w:val="22"/>
          <w:lang w:eastAsia="en-GB" w:bidi="ar-SA"/>
        </w:rPr>
        <w:t>FSANZ website</w:t>
      </w:r>
      <w:r w:rsidR="006E3D97" w:rsidRPr="0000648D">
        <w:rPr>
          <w:rFonts w:cs="Arial"/>
          <w:color w:val="000000"/>
          <w:szCs w:val="22"/>
          <w:lang w:eastAsia="en-GB" w:bidi="ar-SA"/>
        </w:rPr>
        <w:t>.</w:t>
      </w:r>
      <w:r w:rsidRPr="0000648D">
        <w:rPr>
          <w:rFonts w:cs="Arial"/>
          <w:color w:val="000000"/>
          <w:szCs w:val="22"/>
          <w:lang w:eastAsia="en-GB" w:bidi="ar-SA"/>
        </w:rPr>
        <w:t xml:space="preserve"> </w:t>
      </w:r>
    </w:p>
    <w:p w14:paraId="5950419E" w14:textId="77777777" w:rsidR="0033449B" w:rsidRPr="00E71980" w:rsidRDefault="0033449B" w:rsidP="00E71980">
      <w:pPr>
        <w:widowControl/>
        <w:autoSpaceDE w:val="0"/>
        <w:autoSpaceDN w:val="0"/>
        <w:adjustRightInd w:val="0"/>
        <w:rPr>
          <w:rFonts w:cs="Arial"/>
          <w:color w:val="000000"/>
          <w:szCs w:val="22"/>
          <w:lang w:eastAsia="en-GB" w:bidi="ar-SA"/>
        </w:rPr>
      </w:pPr>
    </w:p>
    <w:p w14:paraId="36BA45BE" w14:textId="124B7D73" w:rsidR="00E71980" w:rsidRPr="00E71980" w:rsidRDefault="00E71980" w:rsidP="00E71980">
      <w:pPr>
        <w:pStyle w:val="FSTitle"/>
        <w:rPr>
          <w:rFonts w:cs="Arial"/>
          <w:bCs w:val="0"/>
          <w:color w:val="000000"/>
          <w:sz w:val="22"/>
          <w:szCs w:val="22"/>
          <w:lang w:eastAsia="en-GB" w:bidi="ar-SA"/>
        </w:rPr>
      </w:pPr>
      <w:r w:rsidRPr="00766E16">
        <w:rPr>
          <w:rFonts w:cs="Arial"/>
          <w:bCs w:val="0"/>
          <w:color w:val="000000"/>
          <w:sz w:val="22"/>
          <w:szCs w:val="22"/>
          <w:lang w:eastAsia="en-GB" w:bidi="ar-SA"/>
        </w:rPr>
        <w:t>Supporting Document 1</w:t>
      </w:r>
      <w:r w:rsidR="0072239B">
        <w:rPr>
          <w:rFonts w:cs="Arial"/>
          <w:bCs w:val="0"/>
          <w:color w:val="000000"/>
          <w:sz w:val="22"/>
          <w:szCs w:val="22"/>
          <w:lang w:eastAsia="en-GB" w:bidi="ar-SA"/>
        </w:rPr>
        <w:t xml:space="preserve"> (SD1)</w:t>
      </w:r>
      <w:r w:rsidRPr="00766E16">
        <w:rPr>
          <w:rFonts w:cs="Arial"/>
          <w:bCs w:val="0"/>
          <w:color w:val="000000"/>
          <w:sz w:val="22"/>
          <w:szCs w:val="22"/>
          <w:lang w:eastAsia="en-GB" w:bidi="ar-SA"/>
        </w:rPr>
        <w:t xml:space="preserve"> – Risk Assessment</w:t>
      </w:r>
      <w:r w:rsidR="0033449B" w:rsidRPr="00766E16">
        <w:rPr>
          <w:rFonts w:cs="Arial"/>
          <w:bCs w:val="0"/>
          <w:color w:val="000000"/>
          <w:sz w:val="22"/>
          <w:szCs w:val="22"/>
          <w:lang w:eastAsia="en-GB" w:bidi="ar-SA"/>
        </w:rPr>
        <w:t xml:space="preserve"> Report</w:t>
      </w:r>
    </w:p>
    <w:p w14:paraId="19563408" w14:textId="77777777" w:rsidR="00051ED9" w:rsidRDefault="00562917" w:rsidP="00E71980">
      <w:pPr>
        <w:widowControl/>
        <w:spacing w:before="120" w:after="120"/>
      </w:pPr>
      <w:r w:rsidRPr="00E203C2">
        <w:br w:type="page"/>
      </w:r>
    </w:p>
    <w:p w14:paraId="1FDA95FB" w14:textId="1EB41821" w:rsidR="00173086" w:rsidRDefault="00F33BB8" w:rsidP="00BB1A70">
      <w:pPr>
        <w:pStyle w:val="Heading1"/>
        <w:widowControl/>
        <w:spacing w:before="120" w:after="120"/>
      </w:pPr>
      <w:bookmarkStart w:id="1" w:name="_Toc286391001"/>
      <w:bookmarkStart w:id="2" w:name="_Toc300933414"/>
      <w:bookmarkStart w:id="3" w:name="_Toc60824981"/>
      <w:bookmarkStart w:id="4" w:name="_Toc61442288"/>
      <w:bookmarkStart w:id="5" w:name="_Toc61449832"/>
      <w:bookmarkStart w:id="6" w:name="_Toc63342473"/>
      <w:bookmarkStart w:id="7" w:name="_Toc71711608"/>
      <w:bookmarkStart w:id="8" w:name="_Toc72673542"/>
      <w:bookmarkStart w:id="9" w:name="_Toc11735627"/>
      <w:bookmarkStart w:id="10" w:name="_Toc29883110"/>
      <w:bookmarkStart w:id="11" w:name="_Toc41906797"/>
      <w:bookmarkStart w:id="12" w:name="_Toc41907544"/>
      <w:bookmarkStart w:id="13" w:name="_Toc120358575"/>
      <w:r w:rsidRPr="00FE10CF">
        <w:lastRenderedPageBreak/>
        <w:t>E</w:t>
      </w:r>
      <w:r w:rsidR="0037520F" w:rsidRPr="00FE10CF">
        <w:t>xecutive s</w:t>
      </w:r>
      <w:r w:rsidR="00E063C6" w:rsidRPr="00FE10CF">
        <w:t>ummary</w:t>
      </w:r>
      <w:bookmarkEnd w:id="1"/>
      <w:bookmarkEnd w:id="2"/>
      <w:bookmarkEnd w:id="3"/>
      <w:bookmarkEnd w:id="4"/>
      <w:bookmarkEnd w:id="5"/>
      <w:bookmarkEnd w:id="6"/>
      <w:bookmarkEnd w:id="7"/>
      <w:bookmarkEnd w:id="8"/>
    </w:p>
    <w:p w14:paraId="74EB7522" w14:textId="7C8A638D" w:rsidR="00353353" w:rsidRDefault="00353353" w:rsidP="00965DE2">
      <w:pPr>
        <w:widowControl/>
        <w:spacing w:before="120" w:after="120"/>
        <w:rPr>
          <w:szCs w:val="22"/>
        </w:rPr>
      </w:pPr>
      <w:r>
        <w:t xml:space="preserve">Proposal P1030 was prepared </w:t>
      </w:r>
      <w:r w:rsidRPr="000A4218">
        <w:t xml:space="preserve">to </w:t>
      </w:r>
      <w:r w:rsidR="00E7597D">
        <w:t xml:space="preserve">assess whether to </w:t>
      </w:r>
      <w:r w:rsidR="0072708A" w:rsidRPr="00615742">
        <w:rPr>
          <w:szCs w:val="22"/>
        </w:rPr>
        <w:t>permit formulated supplementary sports foods (FSSFs)</w:t>
      </w:r>
      <w:r w:rsidR="00BC7B1A">
        <w:rPr>
          <w:szCs w:val="22"/>
        </w:rPr>
        <w:t xml:space="preserve">, </w:t>
      </w:r>
      <w:r w:rsidR="0072708A" w:rsidRPr="00615742">
        <w:rPr>
          <w:szCs w:val="22"/>
        </w:rPr>
        <w:t>electrolyte dr</w:t>
      </w:r>
      <w:r w:rsidR="00F30226">
        <w:rPr>
          <w:szCs w:val="22"/>
        </w:rPr>
        <w:t>inks and electrolyte drink bases</w:t>
      </w:r>
      <w:r w:rsidR="00F30226">
        <w:rPr>
          <w:rStyle w:val="FootnoteReference"/>
          <w:szCs w:val="22"/>
        </w:rPr>
        <w:footnoteReference w:id="2"/>
      </w:r>
      <w:r w:rsidR="0072708A" w:rsidRPr="00615742">
        <w:rPr>
          <w:szCs w:val="22"/>
        </w:rPr>
        <w:t xml:space="preserve"> to carry health claims consistent with their </w:t>
      </w:r>
      <w:r w:rsidR="00E51035" w:rsidRPr="000A4218">
        <w:t xml:space="preserve">intended purpose related to </w:t>
      </w:r>
      <w:r w:rsidR="00E51035">
        <w:t xml:space="preserve">strenuous </w:t>
      </w:r>
      <w:r w:rsidR="00E51035" w:rsidRPr="000A4218">
        <w:t xml:space="preserve">physical </w:t>
      </w:r>
      <w:r w:rsidR="00E51035">
        <w:t>activity</w:t>
      </w:r>
      <w:r w:rsidR="00E51035" w:rsidRPr="000A4218">
        <w:t xml:space="preserve">. </w:t>
      </w:r>
      <w:r>
        <w:rPr>
          <w:szCs w:val="22"/>
        </w:rPr>
        <w:t xml:space="preserve">The </w:t>
      </w:r>
      <w:r w:rsidR="0064746C">
        <w:rPr>
          <w:szCs w:val="22"/>
        </w:rPr>
        <w:t>p</w:t>
      </w:r>
      <w:r>
        <w:rPr>
          <w:szCs w:val="22"/>
        </w:rPr>
        <w:t>roposal’s other aim was</w:t>
      </w:r>
      <w:r w:rsidR="00D05370" w:rsidRPr="00615742">
        <w:rPr>
          <w:szCs w:val="22"/>
        </w:rPr>
        <w:t xml:space="preserve"> </w:t>
      </w:r>
      <w:r w:rsidR="00E2689C">
        <w:rPr>
          <w:szCs w:val="22"/>
        </w:rPr>
        <w:t>the</w:t>
      </w:r>
      <w:r w:rsidR="00D05370" w:rsidRPr="00615742">
        <w:rPr>
          <w:szCs w:val="22"/>
        </w:rPr>
        <w:t xml:space="preserve"> transfer </w:t>
      </w:r>
      <w:r w:rsidR="00E2689C">
        <w:rPr>
          <w:szCs w:val="22"/>
        </w:rPr>
        <w:t xml:space="preserve">of </w:t>
      </w:r>
      <w:r w:rsidR="00132909">
        <w:rPr>
          <w:szCs w:val="22"/>
        </w:rPr>
        <w:t>the regulation of</w:t>
      </w:r>
      <w:r w:rsidR="00F30226">
        <w:rPr>
          <w:szCs w:val="22"/>
        </w:rPr>
        <w:t xml:space="preserve"> electrolyte drinks </w:t>
      </w:r>
      <w:r w:rsidR="0072708A" w:rsidRPr="00615742">
        <w:rPr>
          <w:szCs w:val="22"/>
        </w:rPr>
        <w:t>from Standard 2.6.2 – Non-Alcoholic Beverages and Brewed Soft Drinks to Standard 2.9.4 – Formulated Supplementary Sports Foods</w:t>
      </w:r>
      <w:r w:rsidR="00792744">
        <w:rPr>
          <w:szCs w:val="22"/>
        </w:rPr>
        <w:t xml:space="preserve"> of the </w:t>
      </w:r>
      <w:r w:rsidR="00792744" w:rsidRPr="00C22BC8">
        <w:rPr>
          <w:szCs w:val="22"/>
        </w:rPr>
        <w:t>Australia New Zealand Food Standards Code</w:t>
      </w:r>
      <w:r w:rsidR="00792744">
        <w:rPr>
          <w:szCs w:val="22"/>
        </w:rPr>
        <w:t xml:space="preserve"> (the Code)</w:t>
      </w:r>
      <w:r w:rsidR="0072708A" w:rsidRPr="00615742">
        <w:rPr>
          <w:szCs w:val="22"/>
        </w:rPr>
        <w:t>.</w:t>
      </w:r>
      <w:r w:rsidR="00D05370" w:rsidRPr="00615742">
        <w:rPr>
          <w:szCs w:val="22"/>
        </w:rPr>
        <w:t xml:space="preserve"> </w:t>
      </w:r>
    </w:p>
    <w:p w14:paraId="3367FA09" w14:textId="481422DD" w:rsidR="00353353" w:rsidRDefault="009C6C06" w:rsidP="00965DE2">
      <w:pPr>
        <w:widowControl/>
        <w:spacing w:before="120" w:after="120"/>
        <w:rPr>
          <w:szCs w:val="22"/>
        </w:rPr>
      </w:pPr>
      <w:r>
        <w:rPr>
          <w:szCs w:val="22"/>
        </w:rPr>
        <w:t>Food Standards Australia New Zealand (</w:t>
      </w:r>
      <w:r w:rsidR="00353353" w:rsidRPr="00C97F89">
        <w:t>FSANZ</w:t>
      </w:r>
      <w:r>
        <w:t>)</w:t>
      </w:r>
      <w:r w:rsidR="00353353" w:rsidRPr="00C97F89">
        <w:t xml:space="preserve"> </w:t>
      </w:r>
      <w:r w:rsidR="00002C21">
        <w:t xml:space="preserve">assessed the </w:t>
      </w:r>
      <w:r w:rsidR="0064746C">
        <w:t>p</w:t>
      </w:r>
      <w:r w:rsidR="00002C21">
        <w:t xml:space="preserve">roposal in 2014 and then </w:t>
      </w:r>
      <w:r w:rsidR="00353353">
        <w:t xml:space="preserve">prepared a draft variation to </w:t>
      </w:r>
      <w:r w:rsidR="00353353">
        <w:rPr>
          <w:szCs w:val="22"/>
        </w:rPr>
        <w:t xml:space="preserve">the </w:t>
      </w:r>
      <w:r w:rsidR="00353353" w:rsidRPr="00BB1A70">
        <w:rPr>
          <w:szCs w:val="22"/>
        </w:rPr>
        <w:t>Code</w:t>
      </w:r>
      <w:r w:rsidR="00353353" w:rsidRPr="00BB1A70">
        <w:rPr>
          <w:i/>
          <w:szCs w:val="22"/>
        </w:rPr>
        <w:t xml:space="preserve"> </w:t>
      </w:r>
      <w:r w:rsidR="00353353">
        <w:rPr>
          <w:szCs w:val="22"/>
        </w:rPr>
        <w:t>that would</w:t>
      </w:r>
      <w:r w:rsidR="00353353" w:rsidRPr="00BB1A70">
        <w:rPr>
          <w:szCs w:val="22"/>
        </w:rPr>
        <w:t xml:space="preserve"> give effect to the above.</w:t>
      </w:r>
      <w:r w:rsidR="00353353" w:rsidRPr="00BB1A70">
        <w:rPr>
          <w:i/>
          <w:szCs w:val="22"/>
        </w:rPr>
        <w:t xml:space="preserve"> </w:t>
      </w:r>
      <w:r w:rsidR="00353353" w:rsidRPr="00BB1A70">
        <w:rPr>
          <w:szCs w:val="22"/>
        </w:rPr>
        <w:t>FSANZ the</w:t>
      </w:r>
      <w:r w:rsidR="00353353">
        <w:t>n issued a Call for Submissions</w:t>
      </w:r>
      <w:r w:rsidR="00C22BC8">
        <w:t xml:space="preserve"> (CFS)</w:t>
      </w:r>
      <w:r w:rsidR="00353353">
        <w:t xml:space="preserve"> in 2014 seeking submission</w:t>
      </w:r>
      <w:r w:rsidR="009362E5">
        <w:t>s</w:t>
      </w:r>
      <w:r w:rsidR="00353353">
        <w:t xml:space="preserve"> on that assessment and draft variation.</w:t>
      </w:r>
      <w:r w:rsidR="00B01699">
        <w:rPr>
          <w:szCs w:val="22"/>
        </w:rPr>
        <w:t xml:space="preserve"> </w:t>
      </w:r>
      <w:r w:rsidR="003353D4">
        <w:rPr>
          <w:szCs w:val="22"/>
        </w:rPr>
        <w:t>S</w:t>
      </w:r>
      <w:r w:rsidR="00615742">
        <w:rPr>
          <w:szCs w:val="22"/>
        </w:rPr>
        <w:t xml:space="preserve">ubmitters generally did not support </w:t>
      </w:r>
      <w:r w:rsidR="00B24AFD">
        <w:rPr>
          <w:szCs w:val="22"/>
        </w:rPr>
        <w:t>the proposed changes</w:t>
      </w:r>
      <w:r w:rsidR="00353353">
        <w:rPr>
          <w:szCs w:val="22"/>
        </w:rPr>
        <w:t xml:space="preserve"> to the Code.</w:t>
      </w:r>
    </w:p>
    <w:p w14:paraId="4BCBAF69" w14:textId="7C6958CA" w:rsidR="00353353" w:rsidRDefault="00353353" w:rsidP="00965DE2">
      <w:pPr>
        <w:widowControl/>
        <w:spacing w:before="120" w:after="120"/>
        <w:rPr>
          <w:lang w:bidi="ar-SA"/>
        </w:rPr>
      </w:pPr>
      <w:r>
        <w:t>In view of the above</w:t>
      </w:r>
      <w:r w:rsidR="006E62AF">
        <w:t>,</w:t>
      </w:r>
      <w:r>
        <w:t xml:space="preserve"> </w:t>
      </w:r>
      <w:r w:rsidR="00002C21">
        <w:t xml:space="preserve">and given relevant market developments, </w:t>
      </w:r>
      <w:r>
        <w:t xml:space="preserve">FSANZ now seeks stakeholders’ view on </w:t>
      </w:r>
      <w:r w:rsidR="00DE7D9C">
        <w:t>a possible</w:t>
      </w:r>
      <w:r>
        <w:t xml:space="preserve"> modified approach</w:t>
      </w:r>
      <w:r w:rsidR="00DE7D9C">
        <w:rPr>
          <w:lang w:bidi="ar-SA"/>
        </w:rPr>
        <w:t>. That is, whereby FSANZ would</w:t>
      </w:r>
      <w:r w:rsidR="00DE7D9C" w:rsidRPr="00DE7D9C">
        <w:t xml:space="preserve"> </w:t>
      </w:r>
      <w:r w:rsidR="009362E5">
        <w:t>–</w:t>
      </w:r>
      <w:r w:rsidR="00002C21">
        <w:t xml:space="preserve"> </w:t>
      </w:r>
      <w:r w:rsidR="00DE7D9C">
        <w:t>for the reasons set out in this paper</w:t>
      </w:r>
      <w:r w:rsidR="00DE7D9C">
        <w:rPr>
          <w:lang w:bidi="ar-SA"/>
        </w:rPr>
        <w:t xml:space="preserve"> </w:t>
      </w:r>
      <w:r w:rsidR="009362E5">
        <w:rPr>
          <w:lang w:bidi="ar-SA"/>
        </w:rPr>
        <w:t>–</w:t>
      </w:r>
      <w:r w:rsidR="00002C21">
        <w:rPr>
          <w:lang w:bidi="ar-SA"/>
        </w:rPr>
        <w:t xml:space="preserve"> </w:t>
      </w:r>
      <w:r w:rsidR="00DE7D9C">
        <w:rPr>
          <w:lang w:bidi="ar-SA"/>
        </w:rPr>
        <w:t>amend the draft variation prepared in 2014 to provide for the following:</w:t>
      </w:r>
    </w:p>
    <w:p w14:paraId="4825BD5B" w14:textId="603B072B" w:rsidR="001579DC" w:rsidRDefault="001579DC">
      <w:pPr>
        <w:pStyle w:val="ListParagraph"/>
        <w:numPr>
          <w:ilvl w:val="0"/>
          <w:numId w:val="27"/>
        </w:numPr>
        <w:spacing w:before="120" w:after="120"/>
        <w:ind w:left="567" w:hanging="567"/>
        <w:contextualSpacing w:val="0"/>
      </w:pPr>
      <w:r>
        <w:t>Reduc</w:t>
      </w:r>
      <w:r w:rsidR="009362E5">
        <w:t xml:space="preserve">e </w:t>
      </w:r>
      <w:r>
        <w:t xml:space="preserve">the </w:t>
      </w:r>
      <w:r w:rsidRPr="006329EA">
        <w:t xml:space="preserve">minimum requirement for carbohydrate </w:t>
      </w:r>
      <w:r>
        <w:t xml:space="preserve">in electrolyte drinks </w:t>
      </w:r>
      <w:r w:rsidRPr="006329EA">
        <w:t>from 50 g/L to 20 g/L</w:t>
      </w:r>
      <w:r>
        <w:t>. FSANZ</w:t>
      </w:r>
      <w:r w:rsidR="009362E5">
        <w:t>’s risk assessment</w:t>
      </w:r>
      <w:r>
        <w:t xml:space="preserve"> found </w:t>
      </w:r>
      <w:r w:rsidR="009362E5">
        <w:t xml:space="preserve">electrolyte drinks with </w:t>
      </w:r>
      <w:r>
        <w:t>lower carbohydrate (less than 5%)</w:t>
      </w:r>
      <w:r w:rsidR="00B01699">
        <w:t xml:space="preserve"> </w:t>
      </w:r>
      <w:r w:rsidR="009362E5">
        <w:t xml:space="preserve">content </w:t>
      </w:r>
      <w:r>
        <w:t xml:space="preserve">have a similar effect on rehydration and exercise performance as those currently permitted in the Code. This proposed change would support the public health objective of reducing the amount of sugar in sweetened beverages. </w:t>
      </w:r>
    </w:p>
    <w:p w14:paraId="4F9D14F9" w14:textId="72AD8525" w:rsidR="001579DC" w:rsidRDefault="00DE7D9C">
      <w:pPr>
        <w:pStyle w:val="ListParagraph"/>
        <w:numPr>
          <w:ilvl w:val="0"/>
          <w:numId w:val="27"/>
        </w:numPr>
        <w:spacing w:before="120" w:after="120"/>
        <w:ind w:left="567" w:hanging="567"/>
        <w:contextualSpacing w:val="0"/>
      </w:pPr>
      <w:r>
        <w:t>Reduc</w:t>
      </w:r>
      <w:r w:rsidR="009362E5">
        <w:t>e</w:t>
      </w:r>
      <w:r w:rsidR="001579DC">
        <w:t xml:space="preserve"> the maximum fructose </w:t>
      </w:r>
      <w:r>
        <w:t xml:space="preserve">permitted </w:t>
      </w:r>
      <w:r w:rsidR="001579DC">
        <w:t xml:space="preserve">in electrolyte drinks from </w:t>
      </w:r>
      <w:r w:rsidR="001579DC" w:rsidRPr="006329EA">
        <w:t>50</w:t>
      </w:r>
      <w:r w:rsidR="001579DC">
        <w:t> </w:t>
      </w:r>
      <w:r w:rsidR="001579DC" w:rsidRPr="006329EA">
        <w:t>g/L to 20 g/L</w:t>
      </w:r>
      <w:r w:rsidR="00B01699">
        <w:t>, consistent with the reduced minimum carbohydrate</w:t>
      </w:r>
      <w:r w:rsidR="001579DC">
        <w:t>.</w:t>
      </w:r>
    </w:p>
    <w:p w14:paraId="72A90DAA" w14:textId="41A9FA60" w:rsidR="001579DC" w:rsidRDefault="00DE7D9C">
      <w:pPr>
        <w:pStyle w:val="ListParagraph"/>
        <w:numPr>
          <w:ilvl w:val="0"/>
          <w:numId w:val="27"/>
        </w:numPr>
        <w:spacing w:before="120" w:after="120"/>
        <w:ind w:left="567" w:hanging="567"/>
        <w:contextualSpacing w:val="0"/>
      </w:pPr>
      <w:r>
        <w:t xml:space="preserve">Prohibit health claims on electrolyte drinks, </w:t>
      </w:r>
      <w:r w:rsidRPr="00247605">
        <w:t xml:space="preserve">including self-substantiated </w:t>
      </w:r>
      <w:r>
        <w:t xml:space="preserve">health </w:t>
      </w:r>
      <w:r w:rsidRPr="00247605">
        <w:t>claims</w:t>
      </w:r>
      <w:r>
        <w:t xml:space="preserve">, other than for three specific claims. The three exceptions would be </w:t>
      </w:r>
      <w:r w:rsidR="001579DC">
        <w:t>health claims for: hydration during strenuous physical activity; rehydration after strenuous physical activity; and hydration to maintain performance. Each claim would be required to refer to effects occurring under conditions of strenuous physical activity for a minimum time period of 60 minutes.</w:t>
      </w:r>
      <w:r>
        <w:t xml:space="preserve"> </w:t>
      </w:r>
      <w:r w:rsidR="00CE4460">
        <w:t>T</w:t>
      </w:r>
      <w:r w:rsidR="001579DC">
        <w:t xml:space="preserve">hese three health claims </w:t>
      </w:r>
      <w:r>
        <w:t>would be</w:t>
      </w:r>
      <w:r w:rsidR="00CE4460">
        <w:t xml:space="preserve"> permitted on</w:t>
      </w:r>
      <w:r w:rsidR="001579DC">
        <w:t xml:space="preserve"> electrolyte drinks </w:t>
      </w:r>
      <w:r w:rsidR="00CE4460">
        <w:t>with a</w:t>
      </w:r>
      <w:r w:rsidR="00D443AA">
        <w:t>n average osmolality</w:t>
      </w:r>
      <w:r w:rsidR="001579DC">
        <w:t xml:space="preserve"> </w:t>
      </w:r>
      <w:r w:rsidR="00CE4460">
        <w:t xml:space="preserve">of </w:t>
      </w:r>
      <w:r w:rsidR="00D443AA">
        <w:t xml:space="preserve">200-340 </w:t>
      </w:r>
      <w:r w:rsidR="001579DC">
        <w:t>mOsm/</w:t>
      </w:r>
      <w:r w:rsidR="00D443AA">
        <w:t>kg</w:t>
      </w:r>
      <w:r w:rsidR="001579DC">
        <w:t>.</w:t>
      </w:r>
    </w:p>
    <w:p w14:paraId="28A9F5D8" w14:textId="646386E8" w:rsidR="001579DC" w:rsidRDefault="001579DC">
      <w:pPr>
        <w:pStyle w:val="ListParagraph"/>
        <w:numPr>
          <w:ilvl w:val="0"/>
          <w:numId w:val="27"/>
        </w:numPr>
        <w:spacing w:before="120" w:after="120"/>
        <w:ind w:left="567" w:hanging="567"/>
        <w:contextualSpacing w:val="0"/>
      </w:pPr>
      <w:r>
        <w:t>Restrict nutrition content claims in relation to electrolyte drinks</w:t>
      </w:r>
      <w:r w:rsidR="009362E5">
        <w:t xml:space="preserve"> to those </w:t>
      </w:r>
      <w:r>
        <w:t>about</w:t>
      </w:r>
      <w:r w:rsidR="00002C21">
        <w:t>:</w:t>
      </w:r>
      <w:r>
        <w:t xml:space="preserve"> carbohydrate</w:t>
      </w:r>
      <w:r w:rsidR="00002C21">
        <w:t>;</w:t>
      </w:r>
      <w:r>
        <w:t xml:space="preserve"> sugar or sugars</w:t>
      </w:r>
      <w:r w:rsidR="00002C21">
        <w:t>;</w:t>
      </w:r>
      <w:r>
        <w:t xml:space="preserve"> energy</w:t>
      </w:r>
      <w:r w:rsidR="00002C21">
        <w:t>;</w:t>
      </w:r>
      <w:r w:rsidR="006E62AF">
        <w:t xml:space="preserve"> and/or any</w:t>
      </w:r>
      <w:r w:rsidR="00002C21">
        <w:t xml:space="preserve"> </w:t>
      </w:r>
      <w:r w:rsidR="006E62AF">
        <w:t>one of five substances classified as electrolytes</w:t>
      </w:r>
      <w:r w:rsidR="00CE4460">
        <w:t xml:space="preserve"> for the</w:t>
      </w:r>
      <w:r w:rsidR="006E62AF">
        <w:t xml:space="preserve"> purposes of nutrition content claims and nutrition labelling under Standard 2.6.2. These substances would be calcium, sodium, magnesium, potassium and chloride. Declaration of any of these substances as % Recommended Dietary Intake (%RDI) on electrolyte drinks would also be prohibited as such a declaration is not relevant to electrolyte function in these products.</w:t>
      </w:r>
    </w:p>
    <w:p w14:paraId="7F771FEF" w14:textId="67451046" w:rsidR="006E62AF" w:rsidRDefault="006E62AF">
      <w:pPr>
        <w:pStyle w:val="ListParagraph"/>
        <w:numPr>
          <w:ilvl w:val="0"/>
          <w:numId w:val="27"/>
        </w:numPr>
        <w:spacing w:before="120" w:after="120"/>
        <w:ind w:left="567" w:hanging="567"/>
        <w:contextualSpacing w:val="0"/>
      </w:pPr>
      <w:r>
        <w:t>The Code would prescribe the name ‘electrolyte drink’ to enable identification of electrolyte drinks among similar products not regulated as electrolyte drinks.</w:t>
      </w:r>
    </w:p>
    <w:p w14:paraId="4C7CF71F" w14:textId="30B3F488" w:rsidR="006E62AF" w:rsidRDefault="006E62AF">
      <w:pPr>
        <w:pStyle w:val="ListParagraph"/>
        <w:numPr>
          <w:ilvl w:val="0"/>
          <w:numId w:val="27"/>
        </w:numPr>
        <w:spacing w:before="120" w:after="120"/>
        <w:ind w:left="567" w:hanging="567"/>
        <w:contextualSpacing w:val="0"/>
      </w:pPr>
      <w:r>
        <w:lastRenderedPageBreak/>
        <w:t>Amend the</w:t>
      </w:r>
      <w:r w:rsidRPr="00D80363">
        <w:t xml:space="preserve"> definition of </w:t>
      </w:r>
      <w:r>
        <w:t xml:space="preserve">‘electrolyte drink’ to align with compositional amendments </w:t>
      </w:r>
      <w:r w:rsidRPr="00D80363">
        <w:t xml:space="preserve">by removing </w:t>
      </w:r>
      <w:r>
        <w:t xml:space="preserve">the definition’s </w:t>
      </w:r>
      <w:r w:rsidRPr="00D80363">
        <w:t xml:space="preserve">reference to </w:t>
      </w:r>
      <w:r>
        <w:t>‘carbohydrates’</w:t>
      </w:r>
      <w:r w:rsidRPr="00D80363">
        <w:t xml:space="preserve"> and </w:t>
      </w:r>
      <w:r>
        <w:t>‘</w:t>
      </w:r>
      <w:r w:rsidRPr="00D80363">
        <w:t>minerals</w:t>
      </w:r>
      <w:r>
        <w:t xml:space="preserve">’, and </w:t>
      </w:r>
      <w:r w:rsidRPr="00D80363">
        <w:t xml:space="preserve">removing </w:t>
      </w:r>
      <w:r>
        <w:t xml:space="preserve">the need </w:t>
      </w:r>
      <w:r w:rsidRPr="00D80363">
        <w:t>for</w:t>
      </w:r>
      <w:r>
        <w:t xml:space="preserve"> electrolyte drinks </w:t>
      </w:r>
      <w:r w:rsidRPr="00D80363">
        <w:t>to be ‘represented as’</w:t>
      </w:r>
      <w:r w:rsidR="00DC0F83">
        <w:t>.</w:t>
      </w:r>
    </w:p>
    <w:p w14:paraId="3EB4D53A" w14:textId="5026B326" w:rsidR="006E62AF" w:rsidRDefault="006E62AF">
      <w:pPr>
        <w:pStyle w:val="ListParagraph"/>
        <w:numPr>
          <w:ilvl w:val="0"/>
          <w:numId w:val="27"/>
        </w:numPr>
        <w:spacing w:before="120" w:after="120"/>
        <w:ind w:left="567" w:hanging="567"/>
        <w:contextualSpacing w:val="0"/>
      </w:pPr>
      <w:r>
        <w:t>The units of osmolality would be amended to ‘per kilogram’ for compositional requirements. However, current labelling declaration unit requirements using ‘per litre’ would be retained.</w:t>
      </w:r>
    </w:p>
    <w:p w14:paraId="42C1B107" w14:textId="094C07A0" w:rsidR="00DE7D9C" w:rsidRDefault="00DE7D9C">
      <w:pPr>
        <w:pStyle w:val="ListParagraph"/>
        <w:numPr>
          <w:ilvl w:val="0"/>
          <w:numId w:val="27"/>
        </w:numPr>
        <w:spacing w:before="120" w:after="120"/>
        <w:ind w:left="567" w:hanging="567"/>
        <w:contextualSpacing w:val="0"/>
      </w:pPr>
      <w:r w:rsidRPr="00BB1A70">
        <w:t xml:space="preserve">Standard 2.6.2 would continue to regulate electrolyte drinks. Moving the provisions that regulate electrolyte drinks from Standard 2.6.2 to 2.9.4 of the Code can, if required, be considered in Proposal P1010 – </w:t>
      </w:r>
      <w:r w:rsidRPr="00BB1A70">
        <w:rPr>
          <w:i/>
        </w:rPr>
        <w:t>Review of Formulated Supplementary Sports Foods</w:t>
      </w:r>
      <w:r w:rsidR="00DC0F83">
        <w:rPr>
          <w:i/>
        </w:rPr>
        <w:t>.</w:t>
      </w:r>
    </w:p>
    <w:p w14:paraId="0D7C2234" w14:textId="5E008F69" w:rsidR="006E62AF" w:rsidRDefault="00DE7D9C" w:rsidP="00965DE2">
      <w:pPr>
        <w:widowControl/>
        <w:spacing w:before="120" w:after="120"/>
      </w:pPr>
      <w:r>
        <w:t>FSANZ considers that the</w:t>
      </w:r>
      <w:r w:rsidR="006E62AF">
        <w:t xml:space="preserve"> above approach </w:t>
      </w:r>
      <w:r>
        <w:t xml:space="preserve">– </w:t>
      </w:r>
      <w:r w:rsidR="00002C21">
        <w:t>specifically</w:t>
      </w:r>
      <w:r>
        <w:t xml:space="preserve"> in relation to health and nutrition content claims </w:t>
      </w:r>
      <w:r w:rsidR="009362E5">
        <w:t>–</w:t>
      </w:r>
      <w:r>
        <w:t xml:space="preserve"> </w:t>
      </w:r>
      <w:r w:rsidR="006E62AF">
        <w:t xml:space="preserve">is consistent with </w:t>
      </w:r>
      <w:r>
        <w:t>its</w:t>
      </w:r>
      <w:r w:rsidR="006E62AF">
        <w:t xml:space="preserve"> assessment of the scientific evidence (Supporting Document 1), relevant European Union (EU) claim permissions (Appendix </w:t>
      </w:r>
      <w:r w:rsidR="000F4DDB">
        <w:t>1</w:t>
      </w:r>
      <w:r w:rsidR="006E62AF">
        <w:t xml:space="preserve">) and European Food Safety Authority opinions on health claims. </w:t>
      </w:r>
    </w:p>
    <w:p w14:paraId="3A31F58B" w14:textId="383EA3CA" w:rsidR="00C77267" w:rsidRDefault="00DE7D9C" w:rsidP="00965DE2">
      <w:pPr>
        <w:widowControl/>
        <w:spacing w:before="120" w:after="120"/>
      </w:pPr>
      <w:r>
        <w:t>S</w:t>
      </w:r>
      <w:r w:rsidRPr="00085DBB">
        <w:t xml:space="preserve">ubmissions </w:t>
      </w:r>
      <w:r>
        <w:t>to</w:t>
      </w:r>
      <w:r w:rsidRPr="00085DBB">
        <w:t xml:space="preserve"> this</w:t>
      </w:r>
      <w:r w:rsidR="003E5D17">
        <w:t xml:space="preserve"> </w:t>
      </w:r>
      <w:r w:rsidR="00417F12">
        <w:t>C</w:t>
      </w:r>
      <w:r w:rsidR="003E5D17">
        <w:t>onsultation</w:t>
      </w:r>
      <w:r w:rsidRPr="00085DBB">
        <w:t xml:space="preserve"> paper </w:t>
      </w:r>
      <w:r w:rsidR="00002C21">
        <w:t xml:space="preserve">– in addition to the submissions received in response to the 2014 CFS </w:t>
      </w:r>
      <w:r w:rsidR="009362E5">
        <w:t>–</w:t>
      </w:r>
      <w:r w:rsidR="00002C21">
        <w:t xml:space="preserve"> </w:t>
      </w:r>
      <w:r w:rsidRPr="00085DBB">
        <w:t xml:space="preserve">will </w:t>
      </w:r>
      <w:r>
        <w:t>be used to inform</w:t>
      </w:r>
      <w:r w:rsidRPr="00085DBB">
        <w:t xml:space="preserve"> </w:t>
      </w:r>
      <w:r>
        <w:t xml:space="preserve">FSANZ’s </w:t>
      </w:r>
      <w:r w:rsidR="00002C21">
        <w:t xml:space="preserve">decision whether to approve, amend or reject the draft variation prepared in 2014 for this </w:t>
      </w:r>
      <w:r w:rsidR="0064746C">
        <w:t>p</w:t>
      </w:r>
      <w:r w:rsidR="00002C21">
        <w:t>roposal</w:t>
      </w:r>
      <w:r>
        <w:t>.</w:t>
      </w:r>
      <w:r w:rsidR="00C77267">
        <w:t xml:space="preserve"> To assist in this regard, FSANZ has prepared a new version of the draft variation </w:t>
      </w:r>
      <w:r w:rsidR="003F2D00">
        <w:t>to provide an example of</w:t>
      </w:r>
      <w:r w:rsidR="00C77267">
        <w:t xml:space="preserve"> </w:t>
      </w:r>
      <w:r w:rsidR="003F2D00">
        <w:t>how</w:t>
      </w:r>
      <w:r w:rsidR="00C77267">
        <w:t xml:space="preserve"> </w:t>
      </w:r>
      <w:r w:rsidR="003F2D00">
        <w:t>FSANZ</w:t>
      </w:r>
      <w:r w:rsidR="004F71CF">
        <w:t>’s</w:t>
      </w:r>
      <w:r w:rsidR="00C77267">
        <w:t xml:space="preserve"> proposed modified approach </w:t>
      </w:r>
      <w:r w:rsidR="003F2D00">
        <w:t>described</w:t>
      </w:r>
      <w:r w:rsidR="00C77267">
        <w:t xml:space="preserve"> </w:t>
      </w:r>
      <w:r w:rsidR="00A1733F">
        <w:t xml:space="preserve">in </w:t>
      </w:r>
      <w:r w:rsidR="00C77267">
        <w:t>this paper</w:t>
      </w:r>
      <w:r w:rsidR="003F2D00">
        <w:t xml:space="preserve"> could be implemented in the Code</w:t>
      </w:r>
      <w:r w:rsidR="00C77267">
        <w:t>.</w:t>
      </w:r>
    </w:p>
    <w:p w14:paraId="69EF1862" w14:textId="77777777" w:rsidR="00DE7D9C" w:rsidRDefault="00DE7D9C" w:rsidP="00965DE2">
      <w:pPr>
        <w:widowControl/>
        <w:spacing w:before="120" w:after="120"/>
      </w:pPr>
    </w:p>
    <w:p w14:paraId="19563417" w14:textId="7589EF36" w:rsidR="0053464E" w:rsidRDefault="0053464E" w:rsidP="0019443C">
      <w:pPr>
        <w:widowControl/>
        <w:spacing w:before="120" w:after="120"/>
      </w:pPr>
      <w:bookmarkStart w:id="14" w:name="_Toc286391003"/>
      <w:r>
        <w:br w:type="page"/>
      </w:r>
    </w:p>
    <w:p w14:paraId="19563418" w14:textId="7913C7A9" w:rsidR="002A5F8B" w:rsidRPr="00303F27" w:rsidRDefault="00F33BB8" w:rsidP="00303F27">
      <w:pPr>
        <w:pStyle w:val="Heading1"/>
      </w:pPr>
      <w:bookmarkStart w:id="15" w:name="_Toc300933417"/>
      <w:bookmarkStart w:id="16" w:name="_Toc60824982"/>
      <w:bookmarkStart w:id="17" w:name="_Toc61442289"/>
      <w:bookmarkStart w:id="18" w:name="_Toc61449833"/>
      <w:bookmarkStart w:id="19" w:name="_Toc63342474"/>
      <w:bookmarkStart w:id="20" w:name="_Toc71711609"/>
      <w:bookmarkStart w:id="21" w:name="_Toc72673543"/>
      <w:r w:rsidRPr="00303F27">
        <w:lastRenderedPageBreak/>
        <w:t>1</w:t>
      </w:r>
      <w:r w:rsidR="001542D8" w:rsidRPr="00303F27">
        <w:tab/>
      </w:r>
      <w:r w:rsidR="002A5F8B" w:rsidRPr="00303F27">
        <w:t>Introduction</w:t>
      </w:r>
      <w:bookmarkEnd w:id="14"/>
      <w:bookmarkEnd w:id="15"/>
      <w:bookmarkEnd w:id="16"/>
      <w:bookmarkEnd w:id="17"/>
      <w:bookmarkEnd w:id="18"/>
      <w:bookmarkEnd w:id="19"/>
      <w:bookmarkEnd w:id="20"/>
      <w:bookmarkEnd w:id="21"/>
    </w:p>
    <w:p w14:paraId="19563419" w14:textId="7AA6D485" w:rsidR="0053464E" w:rsidRPr="00303F27" w:rsidRDefault="003561A9" w:rsidP="00303F27">
      <w:pPr>
        <w:pStyle w:val="Heading2"/>
      </w:pPr>
      <w:bookmarkStart w:id="22" w:name="_Toc300761891"/>
      <w:bookmarkStart w:id="23" w:name="_Toc300933420"/>
      <w:bookmarkStart w:id="24" w:name="_Toc60824983"/>
      <w:bookmarkStart w:id="25" w:name="_Toc61442290"/>
      <w:bookmarkStart w:id="26" w:name="_Toc61449834"/>
      <w:bookmarkStart w:id="27" w:name="_Toc63342475"/>
      <w:bookmarkStart w:id="28" w:name="_Toc71711610"/>
      <w:bookmarkStart w:id="29" w:name="_Toc72673544"/>
      <w:r w:rsidRPr="00303F27">
        <w:t>1.</w:t>
      </w:r>
      <w:r w:rsidR="00A729A7" w:rsidRPr="00303F27">
        <w:t>1</w:t>
      </w:r>
      <w:r w:rsidRPr="00303F27">
        <w:tab/>
      </w:r>
      <w:r w:rsidR="0013102C" w:rsidRPr="00303F27">
        <w:t>Original</w:t>
      </w:r>
      <w:r w:rsidR="0053464E" w:rsidRPr="00303F27">
        <w:t xml:space="preserve"> </w:t>
      </w:r>
      <w:bookmarkEnd w:id="22"/>
      <w:r w:rsidR="0055318B">
        <w:t>p</w:t>
      </w:r>
      <w:r w:rsidR="00552BE8" w:rsidRPr="00303F27">
        <w:t>roposal</w:t>
      </w:r>
      <w:bookmarkEnd w:id="23"/>
      <w:bookmarkEnd w:id="24"/>
      <w:bookmarkEnd w:id="25"/>
      <w:bookmarkEnd w:id="26"/>
      <w:bookmarkEnd w:id="27"/>
      <w:bookmarkEnd w:id="28"/>
      <w:bookmarkEnd w:id="29"/>
      <w:r w:rsidR="00552BE8" w:rsidRPr="00303F27">
        <w:t xml:space="preserve"> </w:t>
      </w:r>
    </w:p>
    <w:p w14:paraId="0DA30D0A" w14:textId="2555C180" w:rsidR="000A4218" w:rsidRPr="000A4218" w:rsidRDefault="001B7120" w:rsidP="00965DE2">
      <w:pPr>
        <w:spacing w:before="120" w:after="120"/>
      </w:pPr>
      <w:bookmarkStart w:id="30" w:name="_Toc300761892"/>
      <w:bookmarkStart w:id="31" w:name="_Toc300933421"/>
      <w:r w:rsidRPr="006F37D8">
        <w:t xml:space="preserve">FSANZ </w:t>
      </w:r>
      <w:r w:rsidR="007442E5" w:rsidRPr="006F37D8">
        <w:t xml:space="preserve">originally </w:t>
      </w:r>
      <w:r w:rsidRPr="006F37D8">
        <w:t xml:space="preserve">prepared </w:t>
      </w:r>
      <w:r w:rsidR="00900EE7">
        <w:t>P</w:t>
      </w:r>
      <w:r w:rsidR="006E1C04">
        <w:t>roposal</w:t>
      </w:r>
      <w:r w:rsidR="00900EE7">
        <w:t xml:space="preserve"> </w:t>
      </w:r>
      <w:r w:rsidR="006E2CE8">
        <w:t>P1030</w:t>
      </w:r>
      <w:r w:rsidR="003E12D7" w:rsidRPr="006F37D8">
        <w:t xml:space="preserve"> </w:t>
      </w:r>
      <w:r w:rsidR="007442E5" w:rsidRPr="006F37D8">
        <w:t xml:space="preserve">in 2014 </w:t>
      </w:r>
      <w:r w:rsidRPr="006F37D8">
        <w:t xml:space="preserve">after gazettal of </w:t>
      </w:r>
      <w:r w:rsidR="00BB7D7F">
        <w:t xml:space="preserve">the </w:t>
      </w:r>
      <w:r w:rsidRPr="006F37D8">
        <w:t>new Standard 1.2.7</w:t>
      </w:r>
      <w:r w:rsidR="00112158">
        <w:t xml:space="preserve"> </w:t>
      </w:r>
      <w:r w:rsidR="00C44CEC">
        <w:t xml:space="preserve">– Nutrition, </w:t>
      </w:r>
      <w:r w:rsidR="008B1DB6">
        <w:t xml:space="preserve">Health </w:t>
      </w:r>
      <w:r w:rsidR="00C44CEC">
        <w:t xml:space="preserve">and </w:t>
      </w:r>
      <w:r w:rsidR="008B1DB6">
        <w:t>R</w:t>
      </w:r>
      <w:r w:rsidR="00C44CEC">
        <w:t xml:space="preserve">elated </w:t>
      </w:r>
      <w:r w:rsidR="00BB7D7F">
        <w:t>claims</w:t>
      </w:r>
      <w:r w:rsidR="00E51035">
        <w:t xml:space="preserve">. </w:t>
      </w:r>
      <w:r w:rsidR="006E1C04">
        <w:t>P1030 sought</w:t>
      </w:r>
      <w:r w:rsidR="00BB7D7F" w:rsidRPr="006F37D8">
        <w:t xml:space="preserve"> </w:t>
      </w:r>
      <w:r w:rsidRPr="000A4218">
        <w:t xml:space="preserve">to </w:t>
      </w:r>
      <w:r w:rsidR="000A4218" w:rsidRPr="000A4218">
        <w:t>permit formulated supplementary sports foods (FSSFs), electrolyte drinks and electrolyte drink bases</w:t>
      </w:r>
      <w:r w:rsidR="00F30226">
        <w:rPr>
          <w:rStyle w:val="FootnoteReference"/>
        </w:rPr>
        <w:footnoteReference w:id="3"/>
      </w:r>
      <w:r w:rsidR="000A4218" w:rsidRPr="000A4218">
        <w:t xml:space="preserve"> to carry health claims consistent with their intended purpose related to </w:t>
      </w:r>
      <w:r w:rsidR="006E2CE8">
        <w:t xml:space="preserve">strenuous </w:t>
      </w:r>
      <w:r w:rsidR="000A4218" w:rsidRPr="000A4218">
        <w:t xml:space="preserve">physical </w:t>
      </w:r>
      <w:r w:rsidR="006E2CE8">
        <w:t>activity</w:t>
      </w:r>
      <w:r w:rsidRPr="000A4218">
        <w:t xml:space="preserve">. </w:t>
      </w:r>
    </w:p>
    <w:p w14:paraId="56B316A9" w14:textId="77777777" w:rsidR="006E1C04" w:rsidRDefault="001B7120" w:rsidP="00965DE2">
      <w:pPr>
        <w:spacing w:before="120" w:after="120"/>
      </w:pPr>
      <w:r w:rsidRPr="006F37D8">
        <w:t>With the introduction of Standard 1.2.7 most foods were permitted to carry health claims, including claims about physical performance, providing certain claim criteria were met. However, this was not the case for FSSF</w:t>
      </w:r>
      <w:r w:rsidR="003E12D7">
        <w:t>s</w:t>
      </w:r>
      <w:r w:rsidRPr="006F37D8">
        <w:t xml:space="preserve"> and most</w:t>
      </w:r>
      <w:r w:rsidR="00F30226">
        <w:t xml:space="preserve"> electrolyte drinks </w:t>
      </w:r>
      <w:r w:rsidRPr="006F37D8">
        <w:t xml:space="preserve">which, for different reasons, were limited to one or more claims </w:t>
      </w:r>
      <w:r w:rsidR="002C63D6" w:rsidRPr="006F37D8">
        <w:t xml:space="preserve">in </w:t>
      </w:r>
      <w:r w:rsidRPr="006F37D8">
        <w:t xml:space="preserve">Standard 2.9.4 </w:t>
      </w:r>
      <w:r w:rsidR="00C44CEC">
        <w:t xml:space="preserve">– Formulated </w:t>
      </w:r>
      <w:r w:rsidR="00BB7D7F">
        <w:t>supplementary s</w:t>
      </w:r>
      <w:r w:rsidR="00C44CEC">
        <w:t xml:space="preserve">ports </w:t>
      </w:r>
      <w:r w:rsidR="00BB7D7F">
        <w:t xml:space="preserve">foods </w:t>
      </w:r>
      <w:r w:rsidR="00CE7E22">
        <w:t>or</w:t>
      </w:r>
      <w:r w:rsidRPr="006F37D8">
        <w:t xml:space="preserve"> Standard 2.6.2</w:t>
      </w:r>
      <w:r w:rsidR="002C63D6" w:rsidRPr="006F37D8">
        <w:t xml:space="preserve"> </w:t>
      </w:r>
      <w:r w:rsidR="00C44CEC">
        <w:t xml:space="preserve">– Non-alcoholic </w:t>
      </w:r>
      <w:r w:rsidR="008B1DB6">
        <w:t xml:space="preserve">Beverages </w:t>
      </w:r>
      <w:r w:rsidR="00C44CEC">
        <w:t xml:space="preserve">and </w:t>
      </w:r>
      <w:r w:rsidR="008B1DB6">
        <w:t>Brewed S</w:t>
      </w:r>
      <w:r w:rsidR="00C44CEC">
        <w:t xml:space="preserve">oft </w:t>
      </w:r>
      <w:r w:rsidR="008B1DB6">
        <w:t>D</w:t>
      </w:r>
      <w:r w:rsidR="00C44CEC">
        <w:t>rinks, r</w:t>
      </w:r>
      <w:r w:rsidR="002C63D6" w:rsidRPr="006F37D8">
        <w:t>espectively</w:t>
      </w:r>
      <w:r w:rsidRPr="006F37D8">
        <w:t>.</w:t>
      </w:r>
      <w:r w:rsidR="00F30226">
        <w:t xml:space="preserve"> </w:t>
      </w:r>
    </w:p>
    <w:p w14:paraId="46A6D193" w14:textId="0A18C5EB" w:rsidR="006F37D8" w:rsidRPr="006F37D8" w:rsidRDefault="00BC7B1A" w:rsidP="00965DE2">
      <w:pPr>
        <w:spacing w:before="120" w:after="120"/>
        <w:rPr>
          <w:b/>
        </w:rPr>
      </w:pPr>
      <w:r>
        <w:t xml:space="preserve">Electrolyte </w:t>
      </w:r>
      <w:r w:rsidR="00F30226">
        <w:t xml:space="preserve">drinks </w:t>
      </w:r>
      <w:r w:rsidR="007442E5" w:rsidRPr="006F37D8">
        <w:t xml:space="preserve">were </w:t>
      </w:r>
      <w:r w:rsidR="006E1C04">
        <w:t xml:space="preserve">also </w:t>
      </w:r>
      <w:r w:rsidR="007442E5" w:rsidRPr="006F37D8">
        <w:t>proposed to be transferred to Standard 2.9.4</w:t>
      </w:r>
      <w:r w:rsidR="006F37D8">
        <w:t xml:space="preserve"> </w:t>
      </w:r>
      <w:r w:rsidR="007835B0">
        <w:t xml:space="preserve">in recognition of </w:t>
      </w:r>
      <w:r w:rsidR="006F37D8" w:rsidRPr="006F37D8">
        <w:t xml:space="preserve">the product’s special purpose </w:t>
      </w:r>
      <w:r w:rsidR="007835B0">
        <w:t xml:space="preserve">as set out in </w:t>
      </w:r>
      <w:r w:rsidR="006F37D8" w:rsidRPr="006F37D8">
        <w:t>its regulatory definition</w:t>
      </w:r>
      <w:r w:rsidR="00BB7D7F">
        <w:t>,</w:t>
      </w:r>
      <w:r w:rsidR="006F37D8" w:rsidRPr="006F37D8">
        <w:t xml:space="preserve"> while noting it was an </w:t>
      </w:r>
      <w:r w:rsidR="00C15B60">
        <w:t>preliminary</w:t>
      </w:r>
      <w:r w:rsidR="00C15B60" w:rsidRPr="006F37D8">
        <w:t xml:space="preserve"> </w:t>
      </w:r>
      <w:r w:rsidR="006F37D8" w:rsidRPr="006F37D8">
        <w:t xml:space="preserve">step </w:t>
      </w:r>
      <w:r w:rsidR="00CE7E22">
        <w:t>before</w:t>
      </w:r>
      <w:r w:rsidR="006F37D8" w:rsidRPr="006F37D8">
        <w:t xml:space="preserve"> the broader future review of Standard 2.9.4</w:t>
      </w:r>
      <w:r w:rsidR="0056271A">
        <w:t xml:space="preserve"> (now </w:t>
      </w:r>
      <w:r w:rsidR="009050C5">
        <w:t xml:space="preserve">being undertaken as Proposal </w:t>
      </w:r>
      <w:r w:rsidR="0056271A">
        <w:t xml:space="preserve">P1010 </w:t>
      </w:r>
      <w:r w:rsidR="0056271A">
        <w:rPr>
          <w:lang w:bidi="ar-SA"/>
        </w:rPr>
        <w:t xml:space="preserve">– </w:t>
      </w:r>
      <w:r w:rsidR="0056271A" w:rsidRPr="009D2A89">
        <w:rPr>
          <w:i/>
          <w:lang w:bidi="ar-SA"/>
        </w:rPr>
        <w:t>Review of Formulated Supplementary Sports Foods</w:t>
      </w:r>
      <w:r w:rsidR="00C15B60">
        <w:rPr>
          <w:rStyle w:val="FootnoteReference"/>
        </w:rPr>
        <w:footnoteReference w:id="4"/>
      </w:r>
      <w:r w:rsidR="00C15B60" w:rsidRPr="003D1E2B">
        <w:rPr>
          <w:vertAlign w:val="superscript"/>
        </w:rPr>
        <w:t>,</w:t>
      </w:r>
      <w:r w:rsidR="00C15B60">
        <w:rPr>
          <w:rStyle w:val="FootnoteReference"/>
        </w:rPr>
        <w:footnoteReference w:id="5"/>
      </w:r>
      <w:r w:rsidR="0056271A">
        <w:t>)</w:t>
      </w:r>
      <w:r w:rsidR="006F37D8" w:rsidRPr="006F37D8">
        <w:t>.</w:t>
      </w:r>
    </w:p>
    <w:p w14:paraId="1956341A" w14:textId="6900094A" w:rsidR="00960BCF" w:rsidRPr="004E00E6" w:rsidRDefault="007442E5" w:rsidP="00C22BC8">
      <w:pPr>
        <w:widowControl/>
      </w:pPr>
      <w:r>
        <w:t xml:space="preserve">In summary, </w:t>
      </w:r>
      <w:r w:rsidR="006E1C04">
        <w:t>P1030</w:t>
      </w:r>
      <w:r w:rsidR="003E12D7" w:rsidRPr="004E00E6">
        <w:t xml:space="preserve"> </w:t>
      </w:r>
      <w:r w:rsidR="005E2043" w:rsidRPr="004E00E6">
        <w:t xml:space="preserve">was </w:t>
      </w:r>
      <w:r w:rsidR="00C22BC8">
        <w:t xml:space="preserve">originally </w:t>
      </w:r>
      <w:r w:rsidR="005E2043" w:rsidRPr="004E00E6">
        <w:t>prepared to</w:t>
      </w:r>
      <w:r w:rsidR="00E7597D">
        <w:t xml:space="preserve"> assess whether to</w:t>
      </w:r>
      <w:r w:rsidR="00960BCF" w:rsidRPr="004E00E6">
        <w:t>:</w:t>
      </w:r>
    </w:p>
    <w:p w14:paraId="1956341C" w14:textId="272A40BA" w:rsidR="00960BCF" w:rsidRPr="003B1807" w:rsidRDefault="008B37BD" w:rsidP="00C22BC8">
      <w:pPr>
        <w:pStyle w:val="FSBullet1"/>
        <w:spacing w:before="120" w:after="120"/>
      </w:pPr>
      <w:r w:rsidRPr="008B37BD">
        <w:t>p</w:t>
      </w:r>
      <w:r w:rsidR="002C63D6" w:rsidRPr="008B37BD">
        <w:t>ermit</w:t>
      </w:r>
      <w:r w:rsidR="002C63D6" w:rsidRPr="003B1807">
        <w:t xml:space="preserve"> </w:t>
      </w:r>
      <w:r w:rsidR="006F37D8" w:rsidRPr="003B1807">
        <w:t>FSSF</w:t>
      </w:r>
      <w:r w:rsidR="00FD5379">
        <w:t xml:space="preserve"> and</w:t>
      </w:r>
      <w:r w:rsidR="00F30226">
        <w:t xml:space="preserve"> electrolyte drinks </w:t>
      </w:r>
      <w:r w:rsidR="00866B9D" w:rsidRPr="003B1807">
        <w:t>to carry health claims consistent with their</w:t>
      </w:r>
      <w:r w:rsidR="00EC3755" w:rsidRPr="003B1807">
        <w:t xml:space="preserve"> respective</w:t>
      </w:r>
      <w:r w:rsidR="00866B9D" w:rsidRPr="003B1807">
        <w:t xml:space="preserve"> </w:t>
      </w:r>
      <w:r w:rsidR="00CB3ADB" w:rsidRPr="003B1807">
        <w:t>intended</w:t>
      </w:r>
      <w:r w:rsidR="00AF6302" w:rsidRPr="003B1807">
        <w:t xml:space="preserve"> </w:t>
      </w:r>
      <w:r w:rsidR="00866B9D" w:rsidRPr="003B1807">
        <w:t>purpose and in accordance with Standard 1.2.7</w:t>
      </w:r>
      <w:r w:rsidR="00513236" w:rsidRPr="003B1807">
        <w:t>, noting that the minimum composition of</w:t>
      </w:r>
      <w:r w:rsidR="00F30226">
        <w:t xml:space="preserve"> electrolyte drinks </w:t>
      </w:r>
      <w:r w:rsidR="007442E5">
        <w:t>prevented</w:t>
      </w:r>
      <w:r w:rsidR="00513236" w:rsidRPr="003B1807">
        <w:t xml:space="preserve"> </w:t>
      </w:r>
      <w:r w:rsidR="002C63D6" w:rsidRPr="003B1807">
        <w:t xml:space="preserve">most </w:t>
      </w:r>
      <w:r w:rsidR="002C63D6">
        <w:t xml:space="preserve">of </w:t>
      </w:r>
      <w:r w:rsidR="00513236" w:rsidRPr="003B1807">
        <w:t xml:space="preserve">them </w:t>
      </w:r>
      <w:r w:rsidR="007442E5">
        <w:t xml:space="preserve">from </w:t>
      </w:r>
      <w:r w:rsidR="0023479A">
        <w:t>pass</w:t>
      </w:r>
      <w:r w:rsidR="007442E5">
        <w:t>ing</w:t>
      </w:r>
      <w:r w:rsidR="00B1504D">
        <w:t xml:space="preserve"> </w:t>
      </w:r>
      <w:r w:rsidR="00513236" w:rsidRPr="003B1807">
        <w:t>the Nutrient Profile Scoring Criterion</w:t>
      </w:r>
      <w:r w:rsidR="00B1504D">
        <w:t xml:space="preserve"> </w:t>
      </w:r>
      <w:r w:rsidR="006133E1">
        <w:t xml:space="preserve">(NPSC) </w:t>
      </w:r>
      <w:r w:rsidR="00B1504D">
        <w:t>and</w:t>
      </w:r>
      <w:r w:rsidR="002C63D6">
        <w:t xml:space="preserve"> thus </w:t>
      </w:r>
      <w:r w:rsidR="003A3543">
        <w:t xml:space="preserve">making them </w:t>
      </w:r>
      <w:r w:rsidR="00B1504D" w:rsidRPr="003B1807">
        <w:t xml:space="preserve">ineligible to make health claims </w:t>
      </w:r>
    </w:p>
    <w:p w14:paraId="1956341D" w14:textId="1813AA47" w:rsidR="0020330C" w:rsidRPr="003B1807" w:rsidRDefault="008B37BD" w:rsidP="00C22BC8">
      <w:pPr>
        <w:pStyle w:val="FSBullet1"/>
        <w:spacing w:before="120" w:after="120"/>
      </w:pPr>
      <w:r w:rsidRPr="008B37BD">
        <w:t>t</w:t>
      </w:r>
      <w:r w:rsidR="002C63D6" w:rsidRPr="008B37BD">
        <w:t>ransfer</w:t>
      </w:r>
      <w:r w:rsidR="002C63D6" w:rsidRPr="003B1807">
        <w:t xml:space="preserve"> </w:t>
      </w:r>
      <w:r w:rsidR="00D91D0D" w:rsidRPr="003B1807">
        <w:t>the regulation of</w:t>
      </w:r>
      <w:r w:rsidR="00F30226">
        <w:t xml:space="preserve"> electrolyte drinks </w:t>
      </w:r>
      <w:r w:rsidR="005F3F5F" w:rsidRPr="003B1807">
        <w:t>from</w:t>
      </w:r>
      <w:r w:rsidR="00D91D0D" w:rsidRPr="003B1807">
        <w:t xml:space="preserve"> </w:t>
      </w:r>
      <w:r w:rsidR="005F3F5F" w:rsidRPr="003B1807">
        <w:t>Standard 2.6.2</w:t>
      </w:r>
      <w:r w:rsidR="00C44CEC">
        <w:t xml:space="preserve"> </w:t>
      </w:r>
      <w:r w:rsidR="00D91D0D" w:rsidRPr="003B1807">
        <w:t>to Standard 2.9.4</w:t>
      </w:r>
      <w:r w:rsidR="00FD5379">
        <w:t>,</w:t>
      </w:r>
      <w:r w:rsidR="001154FE" w:rsidRPr="003B1807">
        <w:t xml:space="preserve"> </w:t>
      </w:r>
      <w:r w:rsidR="002C63D6">
        <w:t xml:space="preserve">given both food categories </w:t>
      </w:r>
      <w:r w:rsidR="00CE7E22">
        <w:t>were</w:t>
      </w:r>
      <w:r w:rsidR="00C44CEC">
        <w:t xml:space="preserve"> for</w:t>
      </w:r>
      <w:r w:rsidR="006F37D8">
        <w:t xml:space="preserve"> </w:t>
      </w:r>
      <w:r w:rsidR="002C63D6">
        <w:t>a similar purpose</w:t>
      </w:r>
      <w:r w:rsidR="006E2CE8">
        <w:t xml:space="preserve"> and the NPSC does not apply</w:t>
      </w:r>
      <w:r w:rsidR="006551F0">
        <w:t xml:space="preserve"> to</w:t>
      </w:r>
      <w:r w:rsidR="00150886">
        <w:t xml:space="preserve"> </w:t>
      </w:r>
      <w:r w:rsidR="0035171C">
        <w:t xml:space="preserve">special purpose foods, such as </w:t>
      </w:r>
      <w:r w:rsidR="00150886">
        <w:t>FSSF</w:t>
      </w:r>
      <w:r w:rsidR="00C60963">
        <w:t>s</w:t>
      </w:r>
    </w:p>
    <w:p w14:paraId="6E9BF828" w14:textId="5DA59777" w:rsidR="003A3543" w:rsidRDefault="008B37BD" w:rsidP="00C22BC8">
      <w:pPr>
        <w:pStyle w:val="FSBullet1"/>
        <w:spacing w:before="120" w:after="120"/>
      </w:pPr>
      <w:r w:rsidRPr="008B37BD">
        <w:t>m</w:t>
      </w:r>
      <w:r w:rsidR="002C63D6" w:rsidRPr="008B37BD">
        <w:t>ake</w:t>
      </w:r>
      <w:r w:rsidR="002C63D6">
        <w:t xml:space="preserve"> </w:t>
      </w:r>
      <w:r w:rsidR="003B1807">
        <w:t>o</w:t>
      </w:r>
      <w:r w:rsidR="003B1807" w:rsidRPr="003B1807">
        <w:t xml:space="preserve">ther minor amendments to improve the consistency of </w:t>
      </w:r>
      <w:r w:rsidR="00BB7D7F">
        <w:t xml:space="preserve">the </w:t>
      </w:r>
      <w:r w:rsidR="003B1807" w:rsidRPr="003B1807">
        <w:t>regulation of</w:t>
      </w:r>
      <w:r w:rsidR="00F30226">
        <w:t xml:space="preserve"> electrolyte drinks </w:t>
      </w:r>
      <w:r w:rsidR="003B1807" w:rsidRPr="003B1807">
        <w:t xml:space="preserve">in the </w:t>
      </w:r>
      <w:r w:rsidR="00FE76B2">
        <w:t xml:space="preserve">Australia New Zealand Food Standards Code (the </w:t>
      </w:r>
      <w:r w:rsidR="003B1807" w:rsidRPr="003B1807">
        <w:t>Code</w:t>
      </w:r>
      <w:r w:rsidR="00FE76B2">
        <w:t>)</w:t>
      </w:r>
      <w:r w:rsidR="003B1807" w:rsidRPr="003B1807">
        <w:t>.</w:t>
      </w:r>
    </w:p>
    <w:p w14:paraId="62B62D7E" w14:textId="510E06DD" w:rsidR="003A3543" w:rsidRDefault="003A3543" w:rsidP="003A3543">
      <w:pPr>
        <w:widowControl/>
        <w:rPr>
          <w:szCs w:val="22"/>
        </w:rPr>
      </w:pPr>
      <w:r w:rsidRPr="00C97F89">
        <w:t xml:space="preserve">FSANZ </w:t>
      </w:r>
      <w:r>
        <w:t xml:space="preserve">assessed the </w:t>
      </w:r>
      <w:r w:rsidR="0064746C">
        <w:t>p</w:t>
      </w:r>
      <w:r>
        <w:t xml:space="preserve">roposal in 2014 and then prepared a draft variation to </w:t>
      </w:r>
      <w:r w:rsidRPr="00BB1A70">
        <w:rPr>
          <w:szCs w:val="22"/>
        </w:rPr>
        <w:t xml:space="preserve">the </w:t>
      </w:r>
      <w:r w:rsidRPr="007522B0">
        <w:rPr>
          <w:szCs w:val="22"/>
        </w:rPr>
        <w:t>Code</w:t>
      </w:r>
      <w:r w:rsidRPr="00BB1A70">
        <w:rPr>
          <w:i/>
          <w:szCs w:val="22"/>
        </w:rPr>
        <w:t xml:space="preserve"> </w:t>
      </w:r>
      <w:r>
        <w:rPr>
          <w:szCs w:val="22"/>
        </w:rPr>
        <w:t>that would</w:t>
      </w:r>
      <w:r w:rsidRPr="00BB1A70">
        <w:rPr>
          <w:szCs w:val="22"/>
        </w:rPr>
        <w:t xml:space="preserve"> give effect to the above</w:t>
      </w:r>
      <w:r>
        <w:rPr>
          <w:szCs w:val="22"/>
        </w:rPr>
        <w:t xml:space="preserve"> aims or outcomes</w:t>
      </w:r>
      <w:r w:rsidRPr="00BB1A70">
        <w:rPr>
          <w:szCs w:val="22"/>
        </w:rPr>
        <w:t>.</w:t>
      </w:r>
      <w:r w:rsidRPr="00BB1A70">
        <w:rPr>
          <w:i/>
          <w:szCs w:val="22"/>
        </w:rPr>
        <w:t xml:space="preserve"> </w:t>
      </w:r>
      <w:r w:rsidRPr="00BB1A70">
        <w:rPr>
          <w:szCs w:val="22"/>
        </w:rPr>
        <w:t>FSANZ the</w:t>
      </w:r>
      <w:r>
        <w:t>n issued a Call for Submissions (CFS) in 2014, seeking submissions on that assessment and draft variation. The responses to that CFS are considered below.</w:t>
      </w:r>
    </w:p>
    <w:p w14:paraId="254742F7" w14:textId="68127A02" w:rsidR="00552BE8" w:rsidRPr="00552BE8" w:rsidRDefault="00552BE8" w:rsidP="00B046DF">
      <w:pPr>
        <w:pStyle w:val="Heading2"/>
      </w:pPr>
      <w:bookmarkStart w:id="32" w:name="_Toc63342476"/>
      <w:bookmarkStart w:id="33" w:name="_Toc71711611"/>
      <w:bookmarkStart w:id="34" w:name="_Toc72673545"/>
      <w:r w:rsidRPr="00552BE8">
        <w:t>1.2</w:t>
      </w:r>
      <w:r w:rsidRPr="00552BE8">
        <w:tab/>
      </w:r>
      <w:r w:rsidR="00D45B7E">
        <w:t>M</w:t>
      </w:r>
      <w:r>
        <w:t xml:space="preserve">odified </w:t>
      </w:r>
      <w:r w:rsidRPr="00C91E98">
        <w:t>proposal</w:t>
      </w:r>
      <w:bookmarkEnd w:id="32"/>
      <w:bookmarkEnd w:id="33"/>
      <w:bookmarkEnd w:id="34"/>
    </w:p>
    <w:p w14:paraId="71839B8C" w14:textId="2B3FBAB8" w:rsidR="00BE7852" w:rsidRDefault="00FD5379" w:rsidP="00965DE2">
      <w:pPr>
        <w:widowControl/>
        <w:spacing w:before="120" w:after="120"/>
      </w:pPr>
      <w:r>
        <w:t>T</w:t>
      </w:r>
      <w:r w:rsidR="004E00E6">
        <w:t xml:space="preserve">he </w:t>
      </w:r>
      <w:r w:rsidR="00BE7852">
        <w:t xml:space="preserve">market </w:t>
      </w:r>
      <w:r w:rsidR="004E00E6">
        <w:t xml:space="preserve">context </w:t>
      </w:r>
      <w:r w:rsidR="00552BE8">
        <w:t>ha</w:t>
      </w:r>
      <w:r w:rsidR="002B424C">
        <w:t>s</w:t>
      </w:r>
      <w:r>
        <w:t xml:space="preserve"> </w:t>
      </w:r>
      <w:r w:rsidR="00C44CEC">
        <w:t>changed</w:t>
      </w:r>
      <w:r w:rsidR="00C44CEC" w:rsidRPr="006B6A13">
        <w:t xml:space="preserve"> </w:t>
      </w:r>
      <w:r w:rsidR="006B6A13">
        <w:t xml:space="preserve">since the release of the </w:t>
      </w:r>
      <w:r w:rsidR="006B3F21">
        <w:t xml:space="preserve">P1030 </w:t>
      </w:r>
      <w:r>
        <w:t>CFS</w:t>
      </w:r>
      <w:r w:rsidR="00D31ABF">
        <w:t xml:space="preserve"> in 2014</w:t>
      </w:r>
      <w:r w:rsidR="00B24AFD">
        <w:t>.</w:t>
      </w:r>
      <w:r w:rsidR="003B1807">
        <w:t xml:space="preserve"> </w:t>
      </w:r>
      <w:r w:rsidR="00B24AFD">
        <w:t>S</w:t>
      </w:r>
      <w:r w:rsidR="00BE7852" w:rsidRPr="00AD53F7">
        <w:t>ome</w:t>
      </w:r>
      <w:r w:rsidR="00F30226">
        <w:t xml:space="preserve"> electrolyte drink </w:t>
      </w:r>
      <w:r w:rsidR="00552BE8" w:rsidRPr="00AD53F7">
        <w:t xml:space="preserve">manufacturers have lowered, or are seeking to lower, the </w:t>
      </w:r>
      <w:r w:rsidR="0052629D">
        <w:t>carbohydrate</w:t>
      </w:r>
      <w:r w:rsidR="00552BE8" w:rsidRPr="00AD53F7">
        <w:t xml:space="preserve"> content of their</w:t>
      </w:r>
      <w:r w:rsidR="00F30226">
        <w:t xml:space="preserve"> electrolyte drinks </w:t>
      </w:r>
      <w:r w:rsidR="00552BE8" w:rsidRPr="00AD53F7">
        <w:t xml:space="preserve">below the Code’s minimum, but in so doing are unable to position these products as </w:t>
      </w:r>
      <w:r w:rsidR="00F30226">
        <w:t>electrolyte drinks</w:t>
      </w:r>
      <w:r w:rsidR="00552BE8" w:rsidRPr="00AD53F7">
        <w:t xml:space="preserve">. </w:t>
      </w:r>
      <w:r w:rsidR="008B1DB6">
        <w:t xml:space="preserve">A number of </w:t>
      </w:r>
      <w:r w:rsidR="003A3543">
        <w:lastRenderedPageBreak/>
        <w:t xml:space="preserve">responses to the 2014 CFS </w:t>
      </w:r>
      <w:r w:rsidR="00552BE8" w:rsidRPr="00AD53F7">
        <w:t xml:space="preserve">also </w:t>
      </w:r>
      <w:r w:rsidR="008B1DB6" w:rsidRPr="00AD53F7">
        <w:t>argue</w:t>
      </w:r>
      <w:r w:rsidR="008B1DB6">
        <w:t>d</w:t>
      </w:r>
      <w:r w:rsidR="008B1DB6" w:rsidRPr="00AD53F7">
        <w:t xml:space="preserve"> </w:t>
      </w:r>
      <w:r w:rsidR="003A3543">
        <w:t xml:space="preserve">the </w:t>
      </w:r>
      <w:r w:rsidR="00552BE8" w:rsidRPr="00AD53F7">
        <w:t xml:space="preserve">compositional requirements </w:t>
      </w:r>
      <w:r w:rsidR="003A3543">
        <w:t>were</w:t>
      </w:r>
      <w:r w:rsidR="003A3543" w:rsidRPr="00AD53F7">
        <w:t xml:space="preserve"> </w:t>
      </w:r>
      <w:r w:rsidR="008B1DB6" w:rsidRPr="00AD53F7">
        <w:t>outdated</w:t>
      </w:r>
      <w:r w:rsidR="00552BE8" w:rsidRPr="00AD53F7">
        <w:t xml:space="preserve"> and </w:t>
      </w:r>
      <w:r w:rsidR="003A3543">
        <w:t>did</w:t>
      </w:r>
      <w:r w:rsidR="003A3543" w:rsidRPr="00AD53F7">
        <w:t xml:space="preserve"> </w:t>
      </w:r>
      <w:r w:rsidR="00552BE8" w:rsidRPr="00AD53F7">
        <w:t xml:space="preserve">not reflect the most up-to-date scientific evidence. </w:t>
      </w:r>
      <w:r w:rsidR="00BE7852">
        <w:t>In addition, the</w:t>
      </w:r>
      <w:r w:rsidR="004D795D">
        <w:t xml:space="preserve"> Food Ministers’ Meeting</w:t>
      </w:r>
      <w:r w:rsidR="004D795D">
        <w:rPr>
          <w:rStyle w:val="FootnoteReference"/>
        </w:rPr>
        <w:footnoteReference w:id="6"/>
      </w:r>
      <w:r w:rsidR="00BE7852">
        <w:t xml:space="preserve"> has </w:t>
      </w:r>
      <w:r w:rsidR="00A51528">
        <w:t xml:space="preserve">since </w:t>
      </w:r>
      <w:r w:rsidR="00BE7852">
        <w:t>requested FSANZ review Standard 2.9.4</w:t>
      </w:r>
      <w:r w:rsidR="00A51528" w:rsidRPr="00A51528">
        <w:t xml:space="preserve"> </w:t>
      </w:r>
      <w:r w:rsidR="00A51528">
        <w:t>as a priority</w:t>
      </w:r>
      <w:r w:rsidR="00D01888">
        <w:t>,</w:t>
      </w:r>
      <w:r w:rsidR="00BE7852">
        <w:t xml:space="preserve"> </w:t>
      </w:r>
      <w:r w:rsidR="00D01888">
        <w:t xml:space="preserve">for </w:t>
      </w:r>
      <w:r w:rsidR="00BE7852">
        <w:t xml:space="preserve">which </w:t>
      </w:r>
      <w:r w:rsidR="00D01888">
        <w:t xml:space="preserve">FSANZ </w:t>
      </w:r>
      <w:r w:rsidR="006B28F6">
        <w:t>has</w:t>
      </w:r>
      <w:r w:rsidR="00D01888">
        <w:t xml:space="preserve"> prepar</w:t>
      </w:r>
      <w:r w:rsidR="006B28F6">
        <w:t>ed</w:t>
      </w:r>
      <w:r w:rsidR="00BE7852">
        <w:t xml:space="preserve"> Proposal P1010</w:t>
      </w:r>
      <w:r w:rsidR="005B468A" w:rsidRPr="00B13222">
        <w:t>.</w:t>
      </w:r>
    </w:p>
    <w:p w14:paraId="65496256" w14:textId="739CC2C0" w:rsidR="003D1E2B" w:rsidRDefault="00D667BE" w:rsidP="003D1E2B">
      <w:pPr>
        <w:widowControl/>
        <w:spacing w:before="120" w:after="120"/>
      </w:pPr>
      <w:r w:rsidRPr="00694AC8">
        <w:t xml:space="preserve">Given these </w:t>
      </w:r>
      <w:r w:rsidR="00F4710E" w:rsidRPr="00694AC8">
        <w:t xml:space="preserve">contextual </w:t>
      </w:r>
      <w:r w:rsidRPr="00694AC8">
        <w:t xml:space="preserve">changes, </w:t>
      </w:r>
      <w:r w:rsidR="003A3543">
        <w:t xml:space="preserve">and after considering the submissions received in response to the 2014 CFS (see below), </w:t>
      </w:r>
      <w:r w:rsidRPr="00694AC8">
        <w:t xml:space="preserve">FSANZ </w:t>
      </w:r>
      <w:r w:rsidR="003A3543">
        <w:t>is proposing to narrow the</w:t>
      </w:r>
      <w:r w:rsidR="00694AC8" w:rsidRPr="00694AC8">
        <w:t xml:space="preserve"> scope and direction of</w:t>
      </w:r>
      <w:r w:rsidR="00A51528">
        <w:t xml:space="preserve"> Proposal P1030</w:t>
      </w:r>
      <w:r w:rsidR="00F4710E" w:rsidRPr="00694AC8">
        <w:t xml:space="preserve">. </w:t>
      </w:r>
      <w:r w:rsidR="00F4710E">
        <w:t>Th</w:t>
      </w:r>
      <w:r w:rsidR="003B1807">
        <w:t>e</w:t>
      </w:r>
      <w:r w:rsidR="006C4282" w:rsidDel="00031F41">
        <w:t xml:space="preserve"> </w:t>
      </w:r>
      <w:r w:rsidR="00031F41">
        <w:t xml:space="preserve">key </w:t>
      </w:r>
      <w:r w:rsidR="003B1807">
        <w:t xml:space="preserve">matters </w:t>
      </w:r>
      <w:r w:rsidR="006E2CE8">
        <w:t xml:space="preserve">now </w:t>
      </w:r>
      <w:r w:rsidR="006C4282">
        <w:t>under consideration</w:t>
      </w:r>
      <w:r w:rsidR="002B5A13">
        <w:t xml:space="preserve"> </w:t>
      </w:r>
      <w:r w:rsidR="00C44CEC">
        <w:t xml:space="preserve">relate to composition and </w:t>
      </w:r>
      <w:r w:rsidR="00F55DF4">
        <w:t xml:space="preserve">mandatory </w:t>
      </w:r>
      <w:r w:rsidR="00C44CEC">
        <w:t>labelling</w:t>
      </w:r>
      <w:r w:rsidR="008B0E6D">
        <w:t xml:space="preserve"> </w:t>
      </w:r>
      <w:r w:rsidR="00F55DF4">
        <w:t xml:space="preserve">requirements for </w:t>
      </w:r>
      <w:r w:rsidR="008B0E6D">
        <w:t>electrolyte drinks</w:t>
      </w:r>
      <w:r w:rsidR="00F55DF4">
        <w:t xml:space="preserve"> as well as nutrition content and health claims made about electrolyte drinks on labels and in advertising</w:t>
      </w:r>
      <w:r w:rsidR="00C44CEC">
        <w:t>.</w:t>
      </w:r>
      <w:r w:rsidR="00CE7E22">
        <w:t xml:space="preserve"> </w:t>
      </w:r>
    </w:p>
    <w:p w14:paraId="11679B0F" w14:textId="3942263F" w:rsidR="006C4282" w:rsidRDefault="00C44CEC" w:rsidP="003D1E2B">
      <w:pPr>
        <w:keepNext/>
        <w:widowControl/>
        <w:spacing w:before="120" w:after="120"/>
      </w:pPr>
      <w:r>
        <w:t>Specifically</w:t>
      </w:r>
      <w:r w:rsidR="001C346E">
        <w:t>, these matters include</w:t>
      </w:r>
      <w:r w:rsidR="006C4282">
        <w:t>:</w:t>
      </w:r>
    </w:p>
    <w:p w14:paraId="45C9049A" w14:textId="55272E0F" w:rsidR="006C4282" w:rsidRDefault="00694AC8" w:rsidP="00A51528">
      <w:pPr>
        <w:pStyle w:val="FSBullet"/>
        <w:spacing w:before="120" w:after="120"/>
        <w:ind w:left="567" w:hanging="567"/>
      </w:pPr>
      <w:r>
        <w:t xml:space="preserve">a reduction </w:t>
      </w:r>
      <w:r w:rsidRPr="00D667BE">
        <w:t xml:space="preserve">in the minimum </w:t>
      </w:r>
      <w:r>
        <w:t xml:space="preserve">amount of </w:t>
      </w:r>
      <w:r w:rsidR="0052629D">
        <w:t>carbohydrate</w:t>
      </w:r>
      <w:r>
        <w:t xml:space="preserve"> </w:t>
      </w:r>
      <w:r w:rsidR="00D96B5C">
        <w:t xml:space="preserve">required </w:t>
      </w:r>
      <w:r w:rsidR="00C44CEC">
        <w:t>in</w:t>
      </w:r>
      <w:r w:rsidR="00F30226">
        <w:t xml:space="preserve"> electrolyte drinks </w:t>
      </w:r>
      <w:r>
        <w:t>based on</w:t>
      </w:r>
      <w:r w:rsidRPr="00D667BE">
        <w:t xml:space="preserve"> </w:t>
      </w:r>
      <w:r w:rsidR="00D667BE" w:rsidRPr="00D667BE">
        <w:t>scientific evidence</w:t>
      </w:r>
      <w:r w:rsidR="006C4282">
        <w:t xml:space="preserve"> and consequential changes </w:t>
      </w:r>
      <w:r w:rsidR="00B046DF">
        <w:t xml:space="preserve">to </w:t>
      </w:r>
      <w:r w:rsidR="006C4282">
        <w:t>tonicity criteria</w:t>
      </w:r>
      <w:r w:rsidR="00D667BE" w:rsidRPr="00D667BE">
        <w:t xml:space="preserve"> </w:t>
      </w:r>
    </w:p>
    <w:p w14:paraId="365A7DDE" w14:textId="3D5F127B" w:rsidR="00EB2F1F" w:rsidRDefault="00EB2F1F" w:rsidP="00A51528">
      <w:pPr>
        <w:pStyle w:val="FSBullet"/>
        <w:spacing w:before="120" w:after="120"/>
        <w:ind w:left="567" w:hanging="567"/>
      </w:pPr>
      <w:r>
        <w:t xml:space="preserve">prohibiting health claims on electrolyte drinks, </w:t>
      </w:r>
      <w:r w:rsidRPr="00247605">
        <w:t xml:space="preserve">including self-substantiated </w:t>
      </w:r>
      <w:r>
        <w:t xml:space="preserve">health </w:t>
      </w:r>
      <w:r w:rsidRPr="00247605">
        <w:t>claims</w:t>
      </w:r>
      <w:r>
        <w:t>, other than for three specific claims</w:t>
      </w:r>
    </w:p>
    <w:p w14:paraId="0354BC6C" w14:textId="2750ADAC" w:rsidR="00EB2F1F" w:rsidRPr="00EB2F1F" w:rsidRDefault="00EB2F1F" w:rsidP="00A51528">
      <w:pPr>
        <w:pStyle w:val="FSBullet"/>
        <w:spacing w:before="120" w:after="120"/>
        <w:ind w:left="567" w:hanging="567"/>
      </w:pPr>
      <w:r>
        <w:t>restricting nutrition content claims in relation to electrolyte drinks</w:t>
      </w:r>
    </w:p>
    <w:p w14:paraId="30B27E2A" w14:textId="7B837F03" w:rsidR="00D31ABF" w:rsidRDefault="00D31ABF" w:rsidP="00A51528">
      <w:pPr>
        <w:pStyle w:val="FSBullet"/>
        <w:spacing w:before="120" w:after="120"/>
        <w:ind w:left="567" w:hanging="567"/>
      </w:pPr>
      <w:r>
        <w:t>address</w:t>
      </w:r>
      <w:r w:rsidR="00253FE0">
        <w:t>ing</w:t>
      </w:r>
      <w:r>
        <w:t xml:space="preserve"> the therapeutic nature of the existing health claim in Standard 2.6.2</w:t>
      </w:r>
    </w:p>
    <w:p w14:paraId="4688E113" w14:textId="3B894803" w:rsidR="006C4282" w:rsidRDefault="007835B0" w:rsidP="00A51528">
      <w:pPr>
        <w:pStyle w:val="FSBullet"/>
        <w:spacing w:before="120" w:after="120"/>
        <w:ind w:left="567" w:hanging="567"/>
      </w:pPr>
      <w:r>
        <w:t>action</w:t>
      </w:r>
      <w:r w:rsidR="00253FE0">
        <w:t>ing</w:t>
      </w:r>
      <w:r w:rsidR="00C44CEC">
        <w:t xml:space="preserve"> FSANZ’s previous commitment to consider </w:t>
      </w:r>
      <w:r w:rsidR="00A35EA9">
        <w:t>two</w:t>
      </w:r>
      <w:r w:rsidR="00CF4A3E">
        <w:t xml:space="preserve"> </w:t>
      </w:r>
      <w:r w:rsidR="00C44CEC">
        <w:t xml:space="preserve">EU </w:t>
      </w:r>
      <w:r w:rsidR="00234388">
        <w:t xml:space="preserve">authorised </w:t>
      </w:r>
      <w:r w:rsidR="00C44CEC">
        <w:t>health claims for ‘carbohydrate electrolyte solutions’</w:t>
      </w:r>
      <w:r w:rsidR="00CF4A3E">
        <w:t xml:space="preserve">. </w:t>
      </w:r>
    </w:p>
    <w:p w14:paraId="33507D28" w14:textId="69A59F82" w:rsidR="008C2EAC" w:rsidRDefault="00D667BE" w:rsidP="008C2EAC">
      <w:pPr>
        <w:widowControl/>
        <w:spacing w:before="120" w:after="120"/>
        <w:rPr>
          <w:lang w:bidi="ar-SA"/>
        </w:rPr>
      </w:pPr>
      <w:r w:rsidRPr="00D667BE">
        <w:t xml:space="preserve">Several minor changes, some proposed in 2014, </w:t>
      </w:r>
      <w:r w:rsidR="001F5A27">
        <w:t>are further</w:t>
      </w:r>
      <w:r w:rsidR="00F4710E">
        <w:t xml:space="preserve"> </w:t>
      </w:r>
      <w:r w:rsidRPr="00D667BE">
        <w:t xml:space="preserve">considered including </w:t>
      </w:r>
      <w:r w:rsidR="00A35EA9">
        <w:t xml:space="preserve">the </w:t>
      </w:r>
      <w:r w:rsidRPr="00D667BE">
        <w:t>requirement for a prescribed name</w:t>
      </w:r>
      <w:r w:rsidR="00C32F3A">
        <w:t xml:space="preserve"> and </w:t>
      </w:r>
      <w:r w:rsidR="0012188E">
        <w:t>removing</w:t>
      </w:r>
      <w:r w:rsidR="0012188E" w:rsidRPr="0012188E">
        <w:t xml:space="preserve"> the duplicatio</w:t>
      </w:r>
      <w:r w:rsidR="0012188E">
        <w:t>n and inconsistency in</w:t>
      </w:r>
      <w:r w:rsidR="00C32F3A">
        <w:t xml:space="preserve"> nutrition labelling requirements</w:t>
      </w:r>
      <w:r w:rsidR="0012188E">
        <w:t xml:space="preserve"> between </w:t>
      </w:r>
      <w:r w:rsidR="0012188E" w:rsidRPr="0012188E">
        <w:t xml:space="preserve">Standards 1.2.8 </w:t>
      </w:r>
      <w:r w:rsidR="006B28F6">
        <w:t xml:space="preserve">– Nutrition Information Requirements </w:t>
      </w:r>
      <w:r w:rsidR="0012188E" w:rsidRPr="0012188E">
        <w:t>and 2.6.2</w:t>
      </w:r>
      <w:r w:rsidRPr="00EF1003">
        <w:t xml:space="preserve">. </w:t>
      </w:r>
      <w:r w:rsidR="008C2EAC">
        <w:rPr>
          <w:lang w:bidi="ar-SA"/>
        </w:rPr>
        <w:t>F</w:t>
      </w:r>
      <w:r w:rsidR="008C2EAC" w:rsidRPr="006329EA">
        <w:rPr>
          <w:lang w:bidi="ar-SA"/>
        </w:rPr>
        <w:t>SANZ</w:t>
      </w:r>
      <w:r w:rsidR="008C2EAC">
        <w:rPr>
          <w:lang w:bidi="ar-SA"/>
        </w:rPr>
        <w:t xml:space="preserve"> is proposing the regulation of electrolyte drinks remains in Standard 2.6.2</w:t>
      </w:r>
      <w:r w:rsidR="007B7652">
        <w:rPr>
          <w:lang w:bidi="ar-SA"/>
        </w:rPr>
        <w:t xml:space="preserve"> but recognises</w:t>
      </w:r>
      <w:r w:rsidR="008C2EAC">
        <w:rPr>
          <w:lang w:bidi="ar-SA"/>
        </w:rPr>
        <w:t xml:space="preserve"> the </w:t>
      </w:r>
      <w:r w:rsidR="00F6137B">
        <w:rPr>
          <w:lang w:bidi="ar-SA"/>
        </w:rPr>
        <w:t xml:space="preserve">classification of electrolyte drinks and </w:t>
      </w:r>
      <w:r w:rsidR="008B4CF6">
        <w:rPr>
          <w:lang w:bidi="ar-SA"/>
        </w:rPr>
        <w:t>transfer</w:t>
      </w:r>
      <w:r w:rsidR="008C2EAC">
        <w:rPr>
          <w:lang w:bidi="ar-SA"/>
        </w:rPr>
        <w:t xml:space="preserve"> of</w:t>
      </w:r>
      <w:r w:rsidR="007B7652">
        <w:rPr>
          <w:lang w:bidi="ar-SA"/>
        </w:rPr>
        <w:t xml:space="preserve"> these provisions with</w:t>
      </w:r>
      <w:r w:rsidR="008C2EAC">
        <w:rPr>
          <w:lang w:bidi="ar-SA"/>
        </w:rPr>
        <w:t xml:space="preserve">in the Code, may be further considered under </w:t>
      </w:r>
      <w:r w:rsidR="0055318B">
        <w:rPr>
          <w:lang w:bidi="ar-SA"/>
        </w:rPr>
        <w:t>P</w:t>
      </w:r>
      <w:r w:rsidR="00C12BAA">
        <w:rPr>
          <w:lang w:bidi="ar-SA"/>
        </w:rPr>
        <w:t>1010</w:t>
      </w:r>
      <w:r w:rsidR="00253FE0">
        <w:rPr>
          <w:lang w:bidi="ar-SA"/>
        </w:rPr>
        <w:t>.</w:t>
      </w:r>
      <w:r w:rsidR="008C2EAC">
        <w:rPr>
          <w:lang w:bidi="ar-SA"/>
        </w:rPr>
        <w:t xml:space="preserve"> </w:t>
      </w:r>
    </w:p>
    <w:p w14:paraId="19563422" w14:textId="180E4661" w:rsidR="0053464E" w:rsidRPr="00AD53F7" w:rsidRDefault="00F33BB8" w:rsidP="00303F27">
      <w:pPr>
        <w:pStyle w:val="Heading2"/>
      </w:pPr>
      <w:bookmarkStart w:id="35" w:name="_Toc60824986"/>
      <w:bookmarkStart w:id="36" w:name="_Toc61442293"/>
      <w:bookmarkStart w:id="37" w:name="_Toc61449837"/>
      <w:bookmarkStart w:id="38" w:name="_Toc63342477"/>
      <w:bookmarkStart w:id="39" w:name="_Toc71711612"/>
      <w:bookmarkStart w:id="40" w:name="_Toc72673546"/>
      <w:r w:rsidRPr="00AD53F7">
        <w:t>1</w:t>
      </w:r>
      <w:r w:rsidR="00A56E34" w:rsidRPr="00AD53F7">
        <w:t>.</w:t>
      </w:r>
      <w:r w:rsidR="00552BE8">
        <w:t>3</w:t>
      </w:r>
      <w:r w:rsidR="00A56E34" w:rsidRPr="00AD53F7">
        <w:tab/>
        <w:t>The c</w:t>
      </w:r>
      <w:r w:rsidR="0053464E" w:rsidRPr="00AD53F7">
        <w:t xml:space="preserve">urrent </w:t>
      </w:r>
      <w:r w:rsidR="005133FF">
        <w:t>s</w:t>
      </w:r>
      <w:r w:rsidR="0053464E" w:rsidRPr="00AD53F7">
        <w:t>tandard</w:t>
      </w:r>
      <w:bookmarkEnd w:id="30"/>
      <w:bookmarkEnd w:id="31"/>
      <w:r w:rsidR="00A35392" w:rsidRPr="00AD53F7">
        <w:t>s</w:t>
      </w:r>
      <w:bookmarkEnd w:id="35"/>
      <w:bookmarkEnd w:id="36"/>
      <w:bookmarkEnd w:id="37"/>
      <w:bookmarkEnd w:id="38"/>
      <w:bookmarkEnd w:id="39"/>
      <w:bookmarkEnd w:id="40"/>
    </w:p>
    <w:p w14:paraId="6BFA3F5E" w14:textId="79AAC298" w:rsidR="00606106" w:rsidRDefault="00606106" w:rsidP="00606106">
      <w:pPr>
        <w:pStyle w:val="Heading3"/>
      </w:pPr>
      <w:bookmarkStart w:id="41" w:name="_Toc63342478"/>
      <w:bookmarkStart w:id="42" w:name="_Toc71711613"/>
      <w:bookmarkStart w:id="43" w:name="_Toc72673547"/>
      <w:bookmarkStart w:id="44" w:name="_Toc286391007"/>
      <w:bookmarkStart w:id="45" w:name="_Toc300933423"/>
      <w:bookmarkStart w:id="46" w:name="_Toc175381432"/>
      <w:r>
        <w:t>1.</w:t>
      </w:r>
      <w:r w:rsidR="00552BE8">
        <w:t>3</w:t>
      </w:r>
      <w:r>
        <w:t>.1</w:t>
      </w:r>
      <w:r>
        <w:tab/>
        <w:t>Standard 2.6.2</w:t>
      </w:r>
      <w:bookmarkEnd w:id="41"/>
      <w:bookmarkEnd w:id="42"/>
      <w:bookmarkEnd w:id="43"/>
    </w:p>
    <w:p w14:paraId="3EC9EDA4" w14:textId="77777777" w:rsidR="003D11EB" w:rsidRDefault="002B1D32" w:rsidP="00424BD1">
      <w:pPr>
        <w:widowControl/>
        <w:spacing w:before="120" w:after="120"/>
        <w:rPr>
          <w:rFonts w:cs="Arial"/>
        </w:rPr>
      </w:pPr>
      <w:r w:rsidRPr="00AD53F7">
        <w:rPr>
          <w:rFonts w:cs="Arial"/>
        </w:rPr>
        <w:t>Standard 2.6.2 regulates packaged water and water-based beverages</w:t>
      </w:r>
      <w:r w:rsidR="003D11EB">
        <w:rPr>
          <w:rFonts w:cs="Arial"/>
        </w:rPr>
        <w:t xml:space="preserve">, including </w:t>
      </w:r>
      <w:r w:rsidR="003D11EB" w:rsidRPr="00AD53F7">
        <w:rPr>
          <w:rFonts w:cs="Arial"/>
        </w:rPr>
        <w:t>electrolyte drink</w:t>
      </w:r>
      <w:r w:rsidR="003D11EB">
        <w:rPr>
          <w:rFonts w:cs="Arial"/>
        </w:rPr>
        <w:t xml:space="preserve">s and </w:t>
      </w:r>
      <w:r w:rsidR="003D11EB" w:rsidRPr="00AD53F7">
        <w:rPr>
          <w:rFonts w:cs="Arial"/>
        </w:rPr>
        <w:t>electrolyte drink</w:t>
      </w:r>
      <w:r w:rsidR="003D11EB">
        <w:rPr>
          <w:rFonts w:cs="Arial"/>
        </w:rPr>
        <w:t xml:space="preserve"> bases</w:t>
      </w:r>
      <w:r w:rsidRPr="00AD53F7">
        <w:rPr>
          <w:rFonts w:cs="Arial"/>
        </w:rPr>
        <w:t xml:space="preserve">. </w:t>
      </w:r>
    </w:p>
    <w:p w14:paraId="14E30387" w14:textId="3F1C5A19" w:rsidR="002B1D32" w:rsidRPr="003D11EB" w:rsidRDefault="003D11EB" w:rsidP="00424BD1">
      <w:pPr>
        <w:widowControl/>
        <w:spacing w:before="120" w:after="120"/>
        <w:rPr>
          <w:rFonts w:cs="Arial"/>
          <w:szCs w:val="22"/>
        </w:rPr>
      </w:pPr>
      <w:r w:rsidRPr="003D11EB">
        <w:rPr>
          <w:rFonts w:cs="Arial"/>
          <w:szCs w:val="22"/>
        </w:rPr>
        <w:t xml:space="preserve">The Code defines an </w:t>
      </w:r>
      <w:r w:rsidR="0048314A" w:rsidRPr="003D11EB">
        <w:rPr>
          <w:rFonts w:cs="Arial"/>
          <w:szCs w:val="22"/>
        </w:rPr>
        <w:t>‘</w:t>
      </w:r>
      <w:r w:rsidR="002B1D32" w:rsidRPr="003D11EB">
        <w:rPr>
          <w:rFonts w:cs="Arial"/>
          <w:szCs w:val="22"/>
        </w:rPr>
        <w:t>electrolyte drink</w:t>
      </w:r>
      <w:r w:rsidR="0048314A" w:rsidRPr="003D11EB">
        <w:rPr>
          <w:rFonts w:cs="Arial"/>
          <w:szCs w:val="22"/>
        </w:rPr>
        <w:t xml:space="preserve">’ </w:t>
      </w:r>
      <w:r w:rsidRPr="003D11EB">
        <w:rPr>
          <w:rFonts w:cs="Arial"/>
          <w:szCs w:val="22"/>
        </w:rPr>
        <w:t xml:space="preserve">to mean </w:t>
      </w:r>
      <w:r w:rsidR="002B1D32" w:rsidRPr="003D11EB">
        <w:rPr>
          <w:rFonts w:cs="Arial"/>
          <w:i/>
          <w:szCs w:val="22"/>
        </w:rPr>
        <w:t>a drink formulated and represented as suitable for the rapid replacement of fluid, carbohydrates, electrolytes and minerals</w:t>
      </w:r>
      <w:r w:rsidR="0048314A" w:rsidRPr="003D11EB">
        <w:rPr>
          <w:rFonts w:cs="Arial"/>
          <w:szCs w:val="22"/>
        </w:rPr>
        <w:t>.</w:t>
      </w:r>
      <w:r w:rsidR="002B1D32" w:rsidRPr="003D11EB">
        <w:rPr>
          <w:rFonts w:cs="Arial"/>
          <w:i/>
          <w:szCs w:val="22"/>
        </w:rPr>
        <w:t xml:space="preserve"> </w:t>
      </w:r>
      <w:r w:rsidRPr="003D11EB">
        <w:rPr>
          <w:rFonts w:cs="Arial"/>
          <w:szCs w:val="22"/>
        </w:rPr>
        <w:t>An</w:t>
      </w:r>
      <w:r w:rsidR="002B1D32" w:rsidRPr="003D11EB">
        <w:rPr>
          <w:rFonts w:cs="Arial"/>
          <w:szCs w:val="22"/>
        </w:rPr>
        <w:t xml:space="preserve"> </w:t>
      </w:r>
      <w:r w:rsidR="0048314A" w:rsidRPr="003D11EB">
        <w:rPr>
          <w:rFonts w:cs="Arial"/>
          <w:szCs w:val="22"/>
        </w:rPr>
        <w:t>‘</w:t>
      </w:r>
      <w:r w:rsidR="002B1D32" w:rsidRPr="003D11EB">
        <w:rPr>
          <w:rFonts w:cs="Arial"/>
          <w:szCs w:val="22"/>
        </w:rPr>
        <w:t>electrolyte drink base</w:t>
      </w:r>
      <w:r w:rsidR="0048314A" w:rsidRPr="003D11EB">
        <w:rPr>
          <w:rFonts w:cs="Arial"/>
          <w:szCs w:val="22"/>
        </w:rPr>
        <w:t xml:space="preserve">’ </w:t>
      </w:r>
      <w:r w:rsidRPr="003D11EB">
        <w:rPr>
          <w:rFonts w:cs="Arial"/>
          <w:szCs w:val="22"/>
        </w:rPr>
        <w:t xml:space="preserve">is defined to mean </w:t>
      </w:r>
      <w:r w:rsidR="002B1D32" w:rsidRPr="003D11EB">
        <w:rPr>
          <w:rFonts w:cs="Arial"/>
          <w:i/>
          <w:szCs w:val="22"/>
        </w:rPr>
        <w:t>a solid or liquid which when made up, makes an electrolyte drink.</w:t>
      </w:r>
      <w:r w:rsidR="002B1D32" w:rsidRPr="003D11EB">
        <w:rPr>
          <w:rFonts w:cs="Arial"/>
          <w:szCs w:val="22"/>
        </w:rPr>
        <w:t xml:space="preserve"> </w:t>
      </w:r>
    </w:p>
    <w:p w14:paraId="1333E5F4" w14:textId="7D318B18" w:rsidR="00EE0E7A" w:rsidRDefault="00EE0E7A" w:rsidP="00424BD1">
      <w:pPr>
        <w:widowControl/>
        <w:spacing w:before="120" w:after="120"/>
        <w:rPr>
          <w:rFonts w:cs="Arial"/>
        </w:rPr>
      </w:pPr>
      <w:r>
        <w:rPr>
          <w:rFonts w:cs="Arial"/>
        </w:rPr>
        <w:t xml:space="preserve">Sections 2.6.2—9 </w:t>
      </w:r>
      <w:r w:rsidR="00B2656C">
        <w:rPr>
          <w:rFonts w:cs="Arial"/>
        </w:rPr>
        <w:t>to</w:t>
      </w:r>
      <w:r>
        <w:rPr>
          <w:rFonts w:cs="Arial"/>
        </w:rPr>
        <w:t xml:space="preserve"> 2.6.2—12 apply specifically to electrolyte drinks and electrolyte drink bases</w:t>
      </w:r>
      <w:r w:rsidR="00460358">
        <w:rPr>
          <w:rFonts w:cs="Arial"/>
        </w:rPr>
        <w:t xml:space="preserve"> (collectively referred to below as ‘electrolyte drinks’)</w:t>
      </w:r>
      <w:r>
        <w:rPr>
          <w:rFonts w:cs="Arial"/>
        </w:rPr>
        <w:t>.</w:t>
      </w:r>
    </w:p>
    <w:p w14:paraId="15695CCA" w14:textId="1E0DD1BC" w:rsidR="002B1D32" w:rsidRPr="00AD53F7" w:rsidRDefault="00BB7D7F" w:rsidP="00424BD1">
      <w:pPr>
        <w:widowControl/>
        <w:spacing w:before="120" w:after="120"/>
        <w:rPr>
          <w:rFonts w:cs="Arial"/>
          <w:i/>
        </w:rPr>
      </w:pPr>
      <w:r>
        <w:rPr>
          <w:rFonts w:cs="Arial"/>
        </w:rPr>
        <w:t>The c</w:t>
      </w:r>
      <w:r w:rsidR="002B1D32" w:rsidRPr="00AD53F7">
        <w:rPr>
          <w:rFonts w:cs="Arial"/>
        </w:rPr>
        <w:t xml:space="preserve">ompositional requirements </w:t>
      </w:r>
      <w:r w:rsidR="00EF4E9D" w:rsidRPr="00AD53F7">
        <w:rPr>
          <w:rFonts w:cs="Arial"/>
        </w:rPr>
        <w:t>for</w:t>
      </w:r>
      <w:r w:rsidR="00F30226">
        <w:rPr>
          <w:rFonts w:cs="Arial"/>
        </w:rPr>
        <w:t xml:space="preserve"> electrolyte drinks </w:t>
      </w:r>
      <w:r w:rsidR="002B1D32" w:rsidRPr="00AD53F7">
        <w:rPr>
          <w:rFonts w:cs="Arial"/>
        </w:rPr>
        <w:t xml:space="preserve">prescribed </w:t>
      </w:r>
      <w:r w:rsidR="002C63D6">
        <w:rPr>
          <w:rFonts w:cs="Arial"/>
        </w:rPr>
        <w:t xml:space="preserve">in </w:t>
      </w:r>
      <w:r w:rsidR="003D1E2B">
        <w:rPr>
          <w:rFonts w:cs="Arial"/>
        </w:rPr>
        <w:t xml:space="preserve">section </w:t>
      </w:r>
      <w:r w:rsidR="002C63D6">
        <w:rPr>
          <w:rFonts w:cs="Arial"/>
        </w:rPr>
        <w:t xml:space="preserve">2.6.2—9 </w:t>
      </w:r>
      <w:r w:rsidR="002B1D32" w:rsidRPr="00AD53F7">
        <w:rPr>
          <w:rFonts w:cs="Arial"/>
        </w:rPr>
        <w:t>are shown in Table</w:t>
      </w:r>
      <w:r w:rsidR="003D1E2B">
        <w:rPr>
          <w:rFonts w:cs="Arial"/>
        </w:rPr>
        <w:t> </w:t>
      </w:r>
      <w:r w:rsidR="002B1D32" w:rsidRPr="00AD53F7">
        <w:rPr>
          <w:rFonts w:cs="Arial"/>
        </w:rPr>
        <w:t xml:space="preserve">1. </w:t>
      </w:r>
    </w:p>
    <w:p w14:paraId="187B4F5F" w14:textId="3819BDF7" w:rsidR="002B1D32" w:rsidRPr="00AD53F7" w:rsidRDefault="002B1D32" w:rsidP="00424BD1">
      <w:pPr>
        <w:pStyle w:val="FSTableTitle"/>
        <w:widowControl/>
        <w:spacing w:before="120" w:after="120"/>
      </w:pPr>
      <w:r w:rsidRPr="00AD53F7">
        <w:t>Table 1: Prescribed composition of electrolyte drinks and electrolyte drink bases</w:t>
      </w:r>
      <w:r w:rsidR="002C63D6">
        <w:t xml:space="preserve"> </w:t>
      </w:r>
    </w:p>
    <w:tbl>
      <w:tblPr>
        <w:tblStyle w:val="TableGrid"/>
        <w:tblW w:w="5000" w:type="pct"/>
        <w:tblInd w:w="108" w:type="dxa"/>
        <w:tblLook w:val="04A0" w:firstRow="1" w:lastRow="0" w:firstColumn="1" w:lastColumn="0" w:noHBand="0" w:noVBand="1"/>
      </w:tblPr>
      <w:tblGrid>
        <w:gridCol w:w="4530"/>
        <w:gridCol w:w="4530"/>
      </w:tblGrid>
      <w:tr w:rsidR="00835019" w:rsidRPr="00AD53F7" w14:paraId="43CE406A" w14:textId="77777777" w:rsidTr="00835019">
        <w:trPr>
          <w:tblHeader/>
        </w:trPr>
        <w:tc>
          <w:tcPr>
            <w:tcW w:w="2500" w:type="pct"/>
          </w:tcPr>
          <w:p w14:paraId="46F0A1B0" w14:textId="2FC3A1FE" w:rsidR="00835019" w:rsidRPr="005626EF" w:rsidRDefault="005626EF" w:rsidP="00424BD1">
            <w:pPr>
              <w:widowControl/>
              <w:spacing w:before="60" w:after="60"/>
              <w:rPr>
                <w:b/>
                <w:sz w:val="20"/>
                <w:szCs w:val="20"/>
              </w:rPr>
            </w:pPr>
            <w:r w:rsidRPr="005626EF">
              <w:rPr>
                <w:b/>
                <w:sz w:val="20"/>
                <w:szCs w:val="20"/>
              </w:rPr>
              <w:lastRenderedPageBreak/>
              <w:t>Component</w:t>
            </w:r>
          </w:p>
        </w:tc>
        <w:tc>
          <w:tcPr>
            <w:tcW w:w="2500" w:type="pct"/>
          </w:tcPr>
          <w:p w14:paraId="1877B7AE" w14:textId="097E475B" w:rsidR="00835019" w:rsidRPr="005626EF" w:rsidRDefault="005626EF" w:rsidP="005626EF">
            <w:pPr>
              <w:widowControl/>
              <w:spacing w:before="60" w:after="60"/>
              <w:rPr>
                <w:b/>
                <w:sz w:val="20"/>
                <w:szCs w:val="20"/>
              </w:rPr>
            </w:pPr>
            <w:r w:rsidRPr="005626EF">
              <w:rPr>
                <w:b/>
                <w:sz w:val="20"/>
                <w:szCs w:val="20"/>
              </w:rPr>
              <w:t xml:space="preserve">Compositional </w:t>
            </w:r>
            <w:r w:rsidR="00A11473">
              <w:rPr>
                <w:b/>
                <w:sz w:val="20"/>
                <w:szCs w:val="20"/>
              </w:rPr>
              <w:t>Requirements</w:t>
            </w:r>
          </w:p>
        </w:tc>
      </w:tr>
      <w:tr w:rsidR="002B1D32" w:rsidRPr="00AD53F7" w14:paraId="2E68A463" w14:textId="77777777" w:rsidTr="00474E89">
        <w:tc>
          <w:tcPr>
            <w:tcW w:w="2500" w:type="pct"/>
          </w:tcPr>
          <w:p w14:paraId="27968A34" w14:textId="0E4362A1" w:rsidR="002B1D32" w:rsidRPr="00AD53F7" w:rsidRDefault="00731C1D" w:rsidP="00424BD1">
            <w:pPr>
              <w:widowControl/>
              <w:spacing w:before="60" w:after="60"/>
              <w:rPr>
                <w:sz w:val="20"/>
                <w:szCs w:val="20"/>
              </w:rPr>
            </w:pPr>
            <w:r>
              <w:rPr>
                <w:sz w:val="20"/>
                <w:szCs w:val="20"/>
              </w:rPr>
              <w:t xml:space="preserve">(Total) </w:t>
            </w:r>
            <w:r w:rsidR="002B1D32" w:rsidRPr="00AD53F7">
              <w:rPr>
                <w:sz w:val="20"/>
                <w:szCs w:val="20"/>
              </w:rPr>
              <w:t>Carbohydrate (</w:t>
            </w:r>
            <w:r w:rsidR="001112F1">
              <w:rPr>
                <w:sz w:val="20"/>
                <w:szCs w:val="20"/>
              </w:rPr>
              <w:t xml:space="preserve">five </w:t>
            </w:r>
            <w:r w:rsidR="002B1D32" w:rsidRPr="00AD53F7">
              <w:rPr>
                <w:sz w:val="20"/>
                <w:szCs w:val="20"/>
              </w:rPr>
              <w:t>specified sugars)</w:t>
            </w:r>
          </w:p>
        </w:tc>
        <w:tc>
          <w:tcPr>
            <w:tcW w:w="2500" w:type="pct"/>
          </w:tcPr>
          <w:p w14:paraId="5540B4E5" w14:textId="77777777" w:rsidR="002B1D32" w:rsidRPr="00AD53F7" w:rsidRDefault="002B1D32" w:rsidP="00424BD1">
            <w:pPr>
              <w:widowControl/>
              <w:spacing w:before="60" w:after="60"/>
              <w:rPr>
                <w:sz w:val="20"/>
                <w:szCs w:val="20"/>
              </w:rPr>
            </w:pPr>
            <w:r w:rsidRPr="00AD53F7">
              <w:rPr>
                <w:sz w:val="20"/>
                <w:szCs w:val="20"/>
              </w:rPr>
              <w:t>50-100 g/L</w:t>
            </w:r>
          </w:p>
        </w:tc>
      </w:tr>
      <w:tr w:rsidR="00B1504D" w:rsidRPr="00AD53F7" w14:paraId="7FB9A779" w14:textId="77777777" w:rsidTr="00474E89">
        <w:tc>
          <w:tcPr>
            <w:tcW w:w="2500" w:type="pct"/>
          </w:tcPr>
          <w:p w14:paraId="16AC391F" w14:textId="717FB6D9" w:rsidR="00B1504D" w:rsidRPr="00AD53F7" w:rsidRDefault="00B1504D" w:rsidP="00456C20">
            <w:pPr>
              <w:widowControl/>
              <w:spacing w:before="60" w:after="60"/>
              <w:ind w:left="489"/>
              <w:rPr>
                <w:sz w:val="20"/>
                <w:szCs w:val="20"/>
              </w:rPr>
            </w:pPr>
            <w:r>
              <w:rPr>
                <w:sz w:val="20"/>
                <w:szCs w:val="20"/>
              </w:rPr>
              <w:t>Fructose</w:t>
            </w:r>
          </w:p>
        </w:tc>
        <w:tc>
          <w:tcPr>
            <w:tcW w:w="2500" w:type="pct"/>
          </w:tcPr>
          <w:p w14:paraId="68181A66" w14:textId="7B3E25D3" w:rsidR="00B1504D" w:rsidRPr="00AD53F7" w:rsidRDefault="00EF4E9D" w:rsidP="00456C20">
            <w:pPr>
              <w:widowControl/>
              <w:spacing w:before="60" w:after="60"/>
              <w:ind w:left="353"/>
              <w:rPr>
                <w:sz w:val="20"/>
                <w:szCs w:val="20"/>
              </w:rPr>
            </w:pPr>
            <w:r>
              <w:rPr>
                <w:rFonts w:cs="Arial"/>
                <w:sz w:val="20"/>
                <w:szCs w:val="20"/>
              </w:rPr>
              <w:t>≤</w:t>
            </w:r>
            <w:r w:rsidR="00B1504D">
              <w:rPr>
                <w:sz w:val="20"/>
                <w:szCs w:val="20"/>
              </w:rPr>
              <w:t>5</w:t>
            </w:r>
            <w:r w:rsidR="00B1504D" w:rsidRPr="00AD53F7">
              <w:rPr>
                <w:sz w:val="20"/>
                <w:szCs w:val="20"/>
              </w:rPr>
              <w:t xml:space="preserve">0 </w:t>
            </w:r>
            <w:r w:rsidR="00B1504D">
              <w:rPr>
                <w:sz w:val="20"/>
                <w:szCs w:val="20"/>
              </w:rPr>
              <w:t>g</w:t>
            </w:r>
            <w:r w:rsidR="00B1504D" w:rsidRPr="00AD53F7">
              <w:rPr>
                <w:sz w:val="20"/>
                <w:szCs w:val="20"/>
              </w:rPr>
              <w:t>/L</w:t>
            </w:r>
          </w:p>
        </w:tc>
      </w:tr>
      <w:tr w:rsidR="00B1504D" w:rsidRPr="00AD53F7" w14:paraId="5D8390B1" w14:textId="77777777" w:rsidTr="00474E89">
        <w:tc>
          <w:tcPr>
            <w:tcW w:w="2500" w:type="pct"/>
          </w:tcPr>
          <w:p w14:paraId="7F7732B7" w14:textId="77777777" w:rsidR="00B1504D" w:rsidRPr="00AD53F7" w:rsidRDefault="00B1504D" w:rsidP="00424BD1">
            <w:pPr>
              <w:widowControl/>
              <w:spacing w:before="60" w:after="60"/>
              <w:rPr>
                <w:sz w:val="20"/>
                <w:szCs w:val="20"/>
              </w:rPr>
            </w:pPr>
            <w:r w:rsidRPr="00AD53F7">
              <w:rPr>
                <w:sz w:val="20"/>
                <w:szCs w:val="20"/>
              </w:rPr>
              <w:t>Sodium</w:t>
            </w:r>
          </w:p>
        </w:tc>
        <w:tc>
          <w:tcPr>
            <w:tcW w:w="2500" w:type="pct"/>
          </w:tcPr>
          <w:p w14:paraId="1AE1A4FF" w14:textId="70B439DC" w:rsidR="00B1504D" w:rsidRPr="00AD53F7" w:rsidRDefault="00EF4E9D" w:rsidP="00424BD1">
            <w:pPr>
              <w:widowControl/>
              <w:spacing w:before="60" w:after="60"/>
              <w:rPr>
                <w:sz w:val="20"/>
                <w:szCs w:val="20"/>
              </w:rPr>
            </w:pPr>
            <w:r>
              <w:rPr>
                <w:rFonts w:cs="Arial"/>
                <w:sz w:val="20"/>
                <w:szCs w:val="20"/>
              </w:rPr>
              <w:t>≥</w:t>
            </w:r>
            <w:r w:rsidR="00B1504D" w:rsidRPr="00AD53F7">
              <w:rPr>
                <w:sz w:val="20"/>
                <w:szCs w:val="20"/>
              </w:rPr>
              <w:t>10 mmol/L</w:t>
            </w:r>
          </w:p>
        </w:tc>
      </w:tr>
    </w:tbl>
    <w:p w14:paraId="705346F6" w14:textId="62467C20" w:rsidR="005026F9" w:rsidRDefault="00606106" w:rsidP="00424BD1">
      <w:pPr>
        <w:widowControl/>
        <w:spacing w:before="120" w:after="120"/>
        <w:rPr>
          <w:rFonts w:cs="Arial"/>
        </w:rPr>
      </w:pPr>
      <w:r>
        <w:rPr>
          <w:rFonts w:cs="Arial"/>
        </w:rPr>
        <w:t>Section</w:t>
      </w:r>
      <w:r w:rsidR="005026F9" w:rsidRPr="00AD53F7">
        <w:rPr>
          <w:rFonts w:cs="Arial"/>
        </w:rPr>
        <w:t xml:space="preserve"> 2.6.2</w:t>
      </w:r>
      <w:r w:rsidR="005026F9">
        <w:rPr>
          <w:rFonts w:cs="Arial"/>
        </w:rPr>
        <w:t>—10 permits addition of mineral salts</w:t>
      </w:r>
      <w:r w:rsidR="008826CA">
        <w:rPr>
          <w:rFonts w:cs="Arial"/>
        </w:rPr>
        <w:t xml:space="preserve"> listed in paragraphs 2.6.2—10(a)-(l)</w:t>
      </w:r>
      <w:r w:rsidR="003865D4">
        <w:rPr>
          <w:rFonts w:cs="Arial"/>
        </w:rPr>
        <w:t xml:space="preserve"> to electrolyte drinks</w:t>
      </w:r>
      <w:r w:rsidR="005026F9">
        <w:rPr>
          <w:rFonts w:cs="Arial"/>
        </w:rPr>
        <w:t xml:space="preserve">. </w:t>
      </w:r>
    </w:p>
    <w:p w14:paraId="506A436D" w14:textId="0E64EA7D" w:rsidR="001112F1" w:rsidRDefault="001112F1" w:rsidP="00606106">
      <w:pPr>
        <w:widowControl/>
        <w:spacing w:before="120" w:after="120"/>
        <w:rPr>
          <w:rFonts w:cs="Arial"/>
        </w:rPr>
      </w:pPr>
      <w:r>
        <w:rPr>
          <w:rFonts w:cs="Arial"/>
        </w:rPr>
        <w:t xml:space="preserve">Section 2.6.2—11 sets out the </w:t>
      </w:r>
      <w:r w:rsidR="006E2CE8">
        <w:rPr>
          <w:rFonts w:cs="Arial"/>
        </w:rPr>
        <w:t>labelling</w:t>
      </w:r>
      <w:r>
        <w:rPr>
          <w:rFonts w:cs="Arial"/>
        </w:rPr>
        <w:t xml:space="preserve"> </w:t>
      </w:r>
      <w:r w:rsidR="00DF0F16">
        <w:rPr>
          <w:rFonts w:cs="Arial"/>
        </w:rPr>
        <w:t xml:space="preserve">requirements for electrolyte drinks, which relate to information about the average </w:t>
      </w:r>
      <w:r>
        <w:rPr>
          <w:rFonts w:cs="Arial"/>
        </w:rPr>
        <w:t>energy content</w:t>
      </w:r>
      <w:r w:rsidR="00DF0F16">
        <w:rPr>
          <w:rFonts w:cs="Arial"/>
        </w:rPr>
        <w:t xml:space="preserve"> in an electrolyte drink, the average amount of </w:t>
      </w:r>
      <w:r>
        <w:rPr>
          <w:rFonts w:cs="Arial"/>
        </w:rPr>
        <w:t>certain nutrients</w:t>
      </w:r>
      <w:r w:rsidR="00DF0F16">
        <w:rPr>
          <w:rFonts w:cs="Arial"/>
        </w:rPr>
        <w:t xml:space="preserve"> (carbohydrate present, and added minerals and electrolytes</w:t>
      </w:r>
      <w:r>
        <w:rPr>
          <w:rFonts w:cs="Arial"/>
        </w:rPr>
        <w:t>)</w:t>
      </w:r>
      <w:r w:rsidR="00DF0F16">
        <w:rPr>
          <w:rFonts w:cs="Arial"/>
        </w:rPr>
        <w:t xml:space="preserve"> in the electrolyte drink,</w:t>
      </w:r>
      <w:r>
        <w:rPr>
          <w:rFonts w:cs="Arial"/>
        </w:rPr>
        <w:t xml:space="preserve"> as well as the recommended volume and frequency of use</w:t>
      </w:r>
      <w:r w:rsidR="00DF0F16">
        <w:rPr>
          <w:rFonts w:cs="Arial"/>
        </w:rPr>
        <w:t xml:space="preserve"> for the electrolyte drink</w:t>
      </w:r>
      <w:r>
        <w:rPr>
          <w:rFonts w:cs="Arial"/>
        </w:rPr>
        <w:t xml:space="preserve">. </w:t>
      </w:r>
    </w:p>
    <w:p w14:paraId="51092585" w14:textId="540D30EB" w:rsidR="001112F1" w:rsidRDefault="00606106" w:rsidP="00606106">
      <w:pPr>
        <w:widowControl/>
        <w:spacing w:before="120" w:after="120"/>
        <w:rPr>
          <w:rFonts w:cs="Arial"/>
        </w:rPr>
      </w:pPr>
      <w:r>
        <w:rPr>
          <w:rFonts w:cs="Arial"/>
        </w:rPr>
        <w:t>Section 2.6.2—12</w:t>
      </w:r>
      <w:r w:rsidR="00DF0F16">
        <w:rPr>
          <w:rFonts w:cs="Arial"/>
        </w:rPr>
        <w:t xml:space="preserve"> </w:t>
      </w:r>
      <w:r w:rsidR="003D11EB">
        <w:rPr>
          <w:rFonts w:cs="Arial"/>
        </w:rPr>
        <w:t>relates to</w:t>
      </w:r>
      <w:r w:rsidR="00DF0F16">
        <w:rPr>
          <w:rFonts w:cs="Arial"/>
        </w:rPr>
        <w:t xml:space="preserve"> c</w:t>
      </w:r>
      <w:r w:rsidR="00DF0F16" w:rsidRPr="00DF0F16">
        <w:rPr>
          <w:rFonts w:cs="Arial"/>
        </w:rPr>
        <w:t xml:space="preserve">laims </w:t>
      </w:r>
      <w:r w:rsidR="00DF0F16">
        <w:rPr>
          <w:rFonts w:cs="Arial"/>
        </w:rPr>
        <w:t xml:space="preserve">made </w:t>
      </w:r>
      <w:r w:rsidR="00DF0F16" w:rsidRPr="00DF0F16">
        <w:rPr>
          <w:rFonts w:cs="Arial"/>
        </w:rPr>
        <w:t>in relation to the tonicity of electrolyte drinks</w:t>
      </w:r>
      <w:r w:rsidR="00DF0F16">
        <w:rPr>
          <w:rFonts w:cs="Arial"/>
        </w:rPr>
        <w:t>. Subsection 2.6.2—12</w:t>
      </w:r>
      <w:r>
        <w:rPr>
          <w:rFonts w:cs="Arial"/>
        </w:rPr>
        <w:t xml:space="preserve">(1) permits a claim that an electrolyte drink is isotonic if the drink has an average osmolality of </w:t>
      </w:r>
      <w:r w:rsidRPr="00547ABE">
        <w:rPr>
          <w:rFonts w:cs="Arial"/>
        </w:rPr>
        <w:t>250</w:t>
      </w:r>
      <w:r>
        <w:rPr>
          <w:rFonts w:cs="Arial"/>
        </w:rPr>
        <w:t>–</w:t>
      </w:r>
      <w:r w:rsidRPr="00547ABE">
        <w:rPr>
          <w:rFonts w:cs="Arial"/>
        </w:rPr>
        <w:t>340 mOsm/L</w:t>
      </w:r>
      <w:r>
        <w:rPr>
          <w:rFonts w:cs="Arial"/>
        </w:rPr>
        <w:t xml:space="preserve">. </w:t>
      </w:r>
      <w:r w:rsidR="001112F1">
        <w:rPr>
          <w:rFonts w:cs="Arial"/>
        </w:rPr>
        <w:t>S</w:t>
      </w:r>
      <w:r w:rsidR="00DF0F16">
        <w:rPr>
          <w:rFonts w:cs="Arial"/>
        </w:rPr>
        <w:t>ubs</w:t>
      </w:r>
      <w:r w:rsidR="001112F1">
        <w:rPr>
          <w:rFonts w:cs="Arial"/>
        </w:rPr>
        <w:t xml:space="preserve">ection 2.6.2—12(2) requires the declaration of osmolality </w:t>
      </w:r>
      <w:r w:rsidR="00DF0F16">
        <w:rPr>
          <w:rFonts w:cs="Arial"/>
        </w:rPr>
        <w:t xml:space="preserve">to be made </w:t>
      </w:r>
      <w:r w:rsidR="001112F1">
        <w:rPr>
          <w:rFonts w:cs="Arial"/>
        </w:rPr>
        <w:t>in mOsm/L</w:t>
      </w:r>
      <w:r w:rsidR="005B468A">
        <w:rPr>
          <w:rFonts w:cs="Arial"/>
        </w:rPr>
        <w:t>.</w:t>
      </w:r>
    </w:p>
    <w:p w14:paraId="39373C78" w14:textId="79D8332E" w:rsidR="00606106" w:rsidRDefault="00606106" w:rsidP="00606106">
      <w:pPr>
        <w:widowControl/>
        <w:spacing w:before="120" w:after="120"/>
        <w:rPr>
          <w:rFonts w:cs="Arial"/>
        </w:rPr>
      </w:pPr>
      <w:r>
        <w:rPr>
          <w:rFonts w:cs="Arial"/>
        </w:rPr>
        <w:t>S</w:t>
      </w:r>
      <w:r w:rsidR="00DF0F16">
        <w:rPr>
          <w:rFonts w:cs="Arial"/>
        </w:rPr>
        <w:t>ubs</w:t>
      </w:r>
      <w:r>
        <w:rPr>
          <w:rFonts w:cs="Arial"/>
        </w:rPr>
        <w:t>ection 2.6.2—(12)(3) permits</w:t>
      </w:r>
      <w:r w:rsidRPr="00AD53F7">
        <w:rPr>
          <w:rFonts w:cs="Arial"/>
        </w:rPr>
        <w:t xml:space="preserve"> </w:t>
      </w:r>
      <w:r>
        <w:rPr>
          <w:rFonts w:cs="Arial"/>
        </w:rPr>
        <w:t xml:space="preserve">the label on a package of </w:t>
      </w:r>
      <w:r w:rsidRPr="00AD53F7">
        <w:rPr>
          <w:rFonts w:cs="Arial"/>
        </w:rPr>
        <w:t xml:space="preserve">isotonic electrolyte drink </w:t>
      </w:r>
      <w:r w:rsidRPr="00547ABE">
        <w:rPr>
          <w:rFonts w:cs="Arial"/>
        </w:rPr>
        <w:t xml:space="preserve">to </w:t>
      </w:r>
      <w:r>
        <w:rPr>
          <w:rFonts w:cs="Arial"/>
        </w:rPr>
        <w:t>include words</w:t>
      </w:r>
      <w:r w:rsidRPr="00AD53F7">
        <w:rPr>
          <w:rFonts w:cs="Arial"/>
        </w:rPr>
        <w:t xml:space="preserve"> to the effect that</w:t>
      </w:r>
      <w:r>
        <w:rPr>
          <w:rFonts w:cs="Arial"/>
        </w:rPr>
        <w:t>:</w:t>
      </w:r>
    </w:p>
    <w:p w14:paraId="171797FF" w14:textId="77777777" w:rsidR="00606106" w:rsidRPr="00AD53F7" w:rsidRDefault="00606106" w:rsidP="00606106">
      <w:pPr>
        <w:widowControl/>
        <w:spacing w:before="120" w:after="120"/>
        <w:ind w:left="567"/>
        <w:rPr>
          <w:rFonts w:cs="Arial"/>
        </w:rPr>
      </w:pPr>
      <w:r w:rsidRPr="00AD53F7">
        <w:rPr>
          <w:rFonts w:cs="Arial"/>
          <w:i/>
        </w:rPr>
        <w:t>the product is designed to promote the availability of energy and to prevent or treat mild dehydration that may occur as a result of sustained strenuous exercise</w:t>
      </w:r>
      <w:r w:rsidRPr="00AD53F7">
        <w:rPr>
          <w:rFonts w:cs="Arial"/>
        </w:rPr>
        <w:t>.</w:t>
      </w:r>
    </w:p>
    <w:p w14:paraId="7F2ED84A" w14:textId="77777777" w:rsidR="00606106" w:rsidRPr="001112F1" w:rsidRDefault="00606106" w:rsidP="00606106">
      <w:pPr>
        <w:widowControl/>
        <w:spacing w:before="120" w:after="120"/>
      </w:pPr>
      <w:r w:rsidRPr="001112F1">
        <w:t xml:space="preserve">Permission for this claim was incorporated into Standard 2.6.2 before Standard 1.2.7 came into effect. </w:t>
      </w:r>
    </w:p>
    <w:p w14:paraId="43AEDFCD" w14:textId="4DFDAC49" w:rsidR="00606106" w:rsidRDefault="00606106" w:rsidP="00606106">
      <w:pPr>
        <w:pStyle w:val="Heading3"/>
      </w:pPr>
      <w:bookmarkStart w:id="47" w:name="_Toc63342479"/>
      <w:bookmarkStart w:id="48" w:name="_Toc71711614"/>
      <w:bookmarkStart w:id="49" w:name="_Toc72673548"/>
      <w:r>
        <w:t>1.</w:t>
      </w:r>
      <w:r w:rsidR="00552BE8">
        <w:t>3</w:t>
      </w:r>
      <w:r>
        <w:t>.2</w:t>
      </w:r>
      <w:r>
        <w:tab/>
        <w:t>Standard 1.2.7</w:t>
      </w:r>
      <w:bookmarkEnd w:id="47"/>
      <w:bookmarkEnd w:id="48"/>
      <w:bookmarkEnd w:id="49"/>
    </w:p>
    <w:p w14:paraId="301A7AA8" w14:textId="7B03E061" w:rsidR="003E4C2F" w:rsidRDefault="003E4C2F" w:rsidP="00965DE2">
      <w:pPr>
        <w:widowControl/>
        <w:spacing w:before="120" w:after="120"/>
        <w:rPr>
          <w:rFonts w:cs="Arial"/>
        </w:rPr>
      </w:pPr>
      <w:r w:rsidRPr="003E4C2F">
        <w:rPr>
          <w:rFonts w:cs="Arial"/>
        </w:rPr>
        <w:t xml:space="preserve">Standard 1.2.7 regulates how nutrition content and health claims on foods can be made. </w:t>
      </w:r>
    </w:p>
    <w:p w14:paraId="70379D4A" w14:textId="793FC926" w:rsidR="003E4C2F" w:rsidRDefault="003E4C2F" w:rsidP="00965DE2">
      <w:pPr>
        <w:widowControl/>
        <w:spacing w:before="120" w:after="120"/>
        <w:rPr>
          <w:rFonts w:cs="Arial"/>
        </w:rPr>
      </w:pPr>
      <w:r w:rsidRPr="003E4C2F">
        <w:rPr>
          <w:rFonts w:cs="Arial"/>
        </w:rPr>
        <w:t>Standard 1.2.7 sets out the conditions under which such claims can be made, and includes requirements for self-substantiating food-health relationships that underpin general level health claims (GLHC) and for food needing to meet the NPSC to be eligible to carry a health claim. However, the prescribed composition (specifically the prescribed minimum amount of carbohydrate) for electrolyte drinks prevents most of the drinks from carrying health claims (including self-substantiated health claims) on their labels and in advertising in accordance with Standard 1.2.7 as they are generally unable to meet the NPSC.</w:t>
      </w:r>
    </w:p>
    <w:p w14:paraId="522FE74A" w14:textId="77777777" w:rsidR="003E4C2F" w:rsidRPr="003E4C2F" w:rsidRDefault="003E4C2F" w:rsidP="00965DE2">
      <w:pPr>
        <w:widowControl/>
        <w:spacing w:before="120" w:after="120"/>
        <w:rPr>
          <w:rFonts w:cs="Arial"/>
        </w:rPr>
      </w:pPr>
      <w:r w:rsidRPr="003E4C2F">
        <w:rPr>
          <w:rFonts w:cs="Arial"/>
        </w:rPr>
        <w:t>Standard 1.2.7 also prohibits claims that are therapeutic in nature, in other words, claims that:</w:t>
      </w:r>
    </w:p>
    <w:p w14:paraId="3FE6EB44" w14:textId="055813BD" w:rsidR="003E4C2F" w:rsidRPr="003E4C2F" w:rsidRDefault="003E4C2F">
      <w:pPr>
        <w:pStyle w:val="FSBullet1"/>
      </w:pPr>
      <w:r w:rsidRPr="003E4C2F">
        <w:t xml:space="preserve">refer to the prevention, diagnosis, cure or alleviation of a disease, disorder or condition; or </w:t>
      </w:r>
    </w:p>
    <w:p w14:paraId="18DC63C6" w14:textId="38B46F56" w:rsidR="003E4C2F" w:rsidRPr="003E4C2F" w:rsidRDefault="003E4C2F">
      <w:pPr>
        <w:pStyle w:val="FSBullet1"/>
      </w:pPr>
      <w:r w:rsidRPr="003E4C2F">
        <w:t xml:space="preserve">compare a food with a good that is: </w:t>
      </w:r>
    </w:p>
    <w:p w14:paraId="59EC7520" w14:textId="2A65B851" w:rsidR="003E4C2F" w:rsidRPr="003E4C2F" w:rsidRDefault="003E4C2F">
      <w:pPr>
        <w:pStyle w:val="FSBullet2"/>
      </w:pPr>
      <w:r w:rsidRPr="003E4C2F">
        <w:t xml:space="preserve">represented in any way to be for therapeutic use; or </w:t>
      </w:r>
    </w:p>
    <w:p w14:paraId="5F56306E" w14:textId="295738BD" w:rsidR="003E4C2F" w:rsidRDefault="003E4C2F">
      <w:pPr>
        <w:pStyle w:val="FSBullet2"/>
      </w:pPr>
      <w:r w:rsidRPr="003E4C2F">
        <w:t>likely to be taken to be for therapeutic use, whether because of the way in which the good is presented or for any other reason.</w:t>
      </w:r>
    </w:p>
    <w:p w14:paraId="286840EA" w14:textId="77777777" w:rsidR="003E4C2F" w:rsidRDefault="003E4C2F" w:rsidP="00965DE2">
      <w:pPr>
        <w:widowControl/>
        <w:spacing w:before="120" w:after="120"/>
        <w:rPr>
          <w:rFonts w:cs="Arial"/>
        </w:rPr>
      </w:pPr>
      <w:r w:rsidRPr="003E4C2F">
        <w:rPr>
          <w:rFonts w:cs="Arial"/>
        </w:rPr>
        <w:t>Standard 1.2.7 does not apply to claims expressly permitted elsewhere in the Code, such as the claims permitted for isotonic electrolyte drinks in Standard 2.6.2 (see section 1.2.7—6).</w:t>
      </w:r>
    </w:p>
    <w:p w14:paraId="4FF0D6FD" w14:textId="4FA59C4A" w:rsidR="00606106" w:rsidRDefault="00606106" w:rsidP="00606106">
      <w:pPr>
        <w:pStyle w:val="Heading3"/>
      </w:pPr>
      <w:bookmarkStart w:id="50" w:name="_Toc63342480"/>
      <w:bookmarkStart w:id="51" w:name="_Toc71711615"/>
      <w:bookmarkStart w:id="52" w:name="_Toc72673549"/>
      <w:r>
        <w:lastRenderedPageBreak/>
        <w:t>1.</w:t>
      </w:r>
      <w:r w:rsidR="00552BE8">
        <w:t>3</w:t>
      </w:r>
      <w:r>
        <w:t>.3</w:t>
      </w:r>
      <w:r>
        <w:tab/>
        <w:t>Standard 1.2.1</w:t>
      </w:r>
      <w:bookmarkEnd w:id="50"/>
      <w:bookmarkEnd w:id="51"/>
      <w:bookmarkEnd w:id="52"/>
    </w:p>
    <w:p w14:paraId="0851A409" w14:textId="5B0EAFB4" w:rsidR="00673E1E" w:rsidRDefault="00673E1E" w:rsidP="00606106">
      <w:pPr>
        <w:widowControl/>
        <w:spacing w:before="120" w:after="120"/>
        <w:rPr>
          <w:rFonts w:cs="Arial"/>
        </w:rPr>
      </w:pPr>
      <w:r>
        <w:rPr>
          <w:rFonts w:cs="Arial"/>
        </w:rPr>
        <w:t xml:space="preserve">Section 1.2.1—6 requires packaged electrolyte drinks to bear a label with </w:t>
      </w:r>
      <w:r w:rsidR="003D11EB">
        <w:rPr>
          <w:rFonts w:cs="Arial"/>
        </w:rPr>
        <w:t xml:space="preserve">the </w:t>
      </w:r>
      <w:r>
        <w:rPr>
          <w:rFonts w:cs="Arial"/>
        </w:rPr>
        <w:t xml:space="preserve">information referred to in subsection 1.2.1—8(1) </w:t>
      </w:r>
      <w:r w:rsidR="00655B3D">
        <w:rPr>
          <w:rFonts w:cs="Arial"/>
        </w:rPr>
        <w:t xml:space="preserve">(among other things) </w:t>
      </w:r>
      <w:r>
        <w:rPr>
          <w:rFonts w:cs="Arial"/>
        </w:rPr>
        <w:t>unless specific exemptions apply.</w:t>
      </w:r>
      <w:r w:rsidR="005248CF">
        <w:rPr>
          <w:rFonts w:cs="Arial"/>
        </w:rPr>
        <w:t xml:space="preserve"> The following requirements relate </w:t>
      </w:r>
      <w:r w:rsidR="00805CA3">
        <w:rPr>
          <w:rFonts w:cs="Arial"/>
        </w:rPr>
        <w:t xml:space="preserve">particularly </w:t>
      </w:r>
      <w:r w:rsidR="005248CF">
        <w:rPr>
          <w:rFonts w:cs="Arial"/>
        </w:rPr>
        <w:t>to electrolyte drinks.</w:t>
      </w:r>
    </w:p>
    <w:p w14:paraId="49BC0ABF" w14:textId="7655F004" w:rsidR="005026F9" w:rsidRDefault="0052699C" w:rsidP="00606106">
      <w:pPr>
        <w:widowControl/>
        <w:spacing w:before="120" w:after="120"/>
        <w:rPr>
          <w:rFonts w:cs="Arial"/>
        </w:rPr>
      </w:pPr>
      <w:r>
        <w:rPr>
          <w:rFonts w:cs="Arial"/>
        </w:rPr>
        <w:t>Paragraph</w:t>
      </w:r>
      <w:r w:rsidR="0034107C">
        <w:rPr>
          <w:rFonts w:cs="Arial"/>
        </w:rPr>
        <w:t xml:space="preserve"> 1.2.1—8</w:t>
      </w:r>
      <w:r w:rsidR="0013030D">
        <w:rPr>
          <w:rFonts w:cs="Arial"/>
        </w:rPr>
        <w:t>(1)</w:t>
      </w:r>
      <w:r w:rsidR="0034107C">
        <w:rPr>
          <w:rFonts w:cs="Arial"/>
        </w:rPr>
        <w:t xml:space="preserve">(t)(i) requires a declaration of compositional information </w:t>
      </w:r>
      <w:r w:rsidR="00673E1E">
        <w:rPr>
          <w:rFonts w:cs="Arial"/>
        </w:rPr>
        <w:t xml:space="preserve">required by section 2.6.2—11 </w:t>
      </w:r>
      <w:r w:rsidR="0034107C">
        <w:rPr>
          <w:rFonts w:cs="Arial"/>
        </w:rPr>
        <w:t>on the label</w:t>
      </w:r>
      <w:r w:rsidR="00A6597C">
        <w:rPr>
          <w:rFonts w:cs="Arial"/>
        </w:rPr>
        <w:t>s</w:t>
      </w:r>
      <w:r w:rsidR="0034107C">
        <w:rPr>
          <w:rFonts w:cs="Arial"/>
        </w:rPr>
        <w:t xml:space="preserve"> of </w:t>
      </w:r>
      <w:r w:rsidR="00673E1E">
        <w:rPr>
          <w:rFonts w:cs="Arial"/>
        </w:rPr>
        <w:t>packaged e</w:t>
      </w:r>
      <w:r w:rsidR="0034107C">
        <w:rPr>
          <w:rFonts w:cs="Arial"/>
        </w:rPr>
        <w:t>lectrolyte drink</w:t>
      </w:r>
      <w:r w:rsidR="00A6597C">
        <w:rPr>
          <w:rFonts w:cs="Arial"/>
        </w:rPr>
        <w:t>s</w:t>
      </w:r>
      <w:r w:rsidR="00B1359D">
        <w:rPr>
          <w:rFonts w:cs="Arial"/>
        </w:rPr>
        <w:t xml:space="preserve">. </w:t>
      </w:r>
    </w:p>
    <w:p w14:paraId="03D37A22" w14:textId="45E7EB20" w:rsidR="00F849BF" w:rsidRDefault="0052699C" w:rsidP="00424BD1">
      <w:pPr>
        <w:widowControl/>
        <w:spacing w:before="120" w:after="120"/>
        <w:rPr>
          <w:rFonts w:cs="Arial"/>
        </w:rPr>
      </w:pPr>
      <w:r>
        <w:rPr>
          <w:rFonts w:cs="Arial"/>
        </w:rPr>
        <w:t>Paragraph</w:t>
      </w:r>
      <w:r w:rsidR="0034107C">
        <w:rPr>
          <w:rFonts w:cs="Arial"/>
        </w:rPr>
        <w:t xml:space="preserve"> </w:t>
      </w:r>
      <w:r w:rsidR="0034107C" w:rsidRPr="000D0D72">
        <w:rPr>
          <w:rFonts w:cs="Arial"/>
        </w:rPr>
        <w:t>1.2.1—8</w:t>
      </w:r>
      <w:r w:rsidR="00B2343B">
        <w:rPr>
          <w:rFonts w:cs="Arial"/>
        </w:rPr>
        <w:t>(1)</w:t>
      </w:r>
      <w:r w:rsidR="0034107C" w:rsidRPr="000D0D72">
        <w:rPr>
          <w:rFonts w:cs="Arial"/>
        </w:rPr>
        <w:t>(t)</w:t>
      </w:r>
      <w:r>
        <w:rPr>
          <w:rFonts w:cs="Arial"/>
        </w:rPr>
        <w:t>(ii)</w:t>
      </w:r>
      <w:r w:rsidR="0034107C" w:rsidRPr="000D0D72">
        <w:rPr>
          <w:rFonts w:cs="Arial"/>
        </w:rPr>
        <w:t xml:space="preserve"> require</w:t>
      </w:r>
      <w:r w:rsidR="0034107C">
        <w:rPr>
          <w:rFonts w:cs="Arial"/>
        </w:rPr>
        <w:t xml:space="preserve">s </w:t>
      </w:r>
      <w:r w:rsidR="00BB7D7F">
        <w:rPr>
          <w:rFonts w:cs="Arial"/>
        </w:rPr>
        <w:t xml:space="preserve">the </w:t>
      </w:r>
      <w:r w:rsidR="0034107C">
        <w:rPr>
          <w:rFonts w:cs="Arial"/>
        </w:rPr>
        <w:t xml:space="preserve">declaration of </w:t>
      </w:r>
      <w:r w:rsidR="0034107C" w:rsidRPr="000D0D72">
        <w:rPr>
          <w:rFonts w:cs="Arial"/>
        </w:rPr>
        <w:t xml:space="preserve">osmolality </w:t>
      </w:r>
      <w:r w:rsidR="00655B3D">
        <w:rPr>
          <w:rFonts w:cs="Arial"/>
        </w:rPr>
        <w:t xml:space="preserve">of the electrolyte drink </w:t>
      </w:r>
      <w:r w:rsidR="007B3865">
        <w:rPr>
          <w:rFonts w:cs="Arial"/>
        </w:rPr>
        <w:t xml:space="preserve">(as required by section 2.6.2—12) to be placed </w:t>
      </w:r>
      <w:r w:rsidR="0034107C">
        <w:rPr>
          <w:rFonts w:cs="Arial"/>
        </w:rPr>
        <w:t xml:space="preserve">on </w:t>
      </w:r>
      <w:r w:rsidR="007B3865">
        <w:rPr>
          <w:rFonts w:cs="Arial"/>
        </w:rPr>
        <w:t>the drink’s label</w:t>
      </w:r>
      <w:r>
        <w:rPr>
          <w:rFonts w:cs="Arial"/>
        </w:rPr>
        <w:t xml:space="preserve"> </w:t>
      </w:r>
      <w:r w:rsidR="0034107C" w:rsidRPr="000D0D72">
        <w:rPr>
          <w:rFonts w:cs="Arial"/>
        </w:rPr>
        <w:t>when a claim is made that the drink is isotonic, hypertonic or hypotonic.</w:t>
      </w:r>
      <w:r w:rsidR="0034107C">
        <w:rPr>
          <w:rFonts w:cs="Arial"/>
        </w:rPr>
        <w:t xml:space="preserve"> </w:t>
      </w:r>
      <w:r>
        <w:rPr>
          <w:rFonts w:cs="Arial"/>
        </w:rPr>
        <w:t xml:space="preserve">Section </w:t>
      </w:r>
      <w:r w:rsidR="005026F9">
        <w:rPr>
          <w:rFonts w:cs="Arial"/>
        </w:rPr>
        <w:t>2.6.</w:t>
      </w:r>
      <w:r w:rsidR="005026F9" w:rsidRPr="00A25D81">
        <w:t>2</w:t>
      </w:r>
      <w:r w:rsidR="002C63D6">
        <w:t>—</w:t>
      </w:r>
      <w:r w:rsidR="005026F9">
        <w:t>12</w:t>
      </w:r>
      <w:r w:rsidR="005026F9" w:rsidRPr="00AD53F7">
        <w:rPr>
          <w:rFonts w:cs="Arial"/>
        </w:rPr>
        <w:t xml:space="preserve"> </w:t>
      </w:r>
      <w:r>
        <w:rPr>
          <w:rFonts w:cs="Arial"/>
        </w:rPr>
        <w:t xml:space="preserve">states that the osmolality of the electrolyte drink must be declared as measured in mOsm/L. </w:t>
      </w:r>
    </w:p>
    <w:p w14:paraId="5E7669E2" w14:textId="0154FDDD" w:rsidR="00606106" w:rsidRDefault="00606106" w:rsidP="00606106">
      <w:pPr>
        <w:pStyle w:val="Heading3"/>
      </w:pPr>
      <w:bookmarkStart w:id="53" w:name="_Toc63342481"/>
      <w:bookmarkStart w:id="54" w:name="_Toc71711616"/>
      <w:bookmarkStart w:id="55" w:name="_Toc72673550"/>
      <w:r>
        <w:t>1.</w:t>
      </w:r>
      <w:r w:rsidR="00552BE8">
        <w:t>3</w:t>
      </w:r>
      <w:r>
        <w:t>.4</w:t>
      </w:r>
      <w:r>
        <w:tab/>
        <w:t>Standard 1.2.2</w:t>
      </w:r>
      <w:bookmarkEnd w:id="53"/>
      <w:bookmarkEnd w:id="54"/>
      <w:bookmarkEnd w:id="55"/>
    </w:p>
    <w:p w14:paraId="7DACC24D" w14:textId="07E45D07" w:rsidR="005026F9" w:rsidRPr="006F37D8" w:rsidRDefault="005026F9" w:rsidP="00424BD1">
      <w:pPr>
        <w:widowControl/>
        <w:spacing w:before="120" w:after="120"/>
      </w:pPr>
      <w:r w:rsidRPr="006F37D8">
        <w:t>Standard 1.2.2</w:t>
      </w:r>
      <w:r w:rsidR="00994863">
        <w:t xml:space="preserve"> – Food Identification Requirements</w:t>
      </w:r>
      <w:r w:rsidRPr="006F37D8">
        <w:t xml:space="preserve"> requires that the label on a package of food must include the prescribed name of the food (if a name is prescribed by the Code) and in any other case, a name or description of the food sufficient to indicate the true nature of the food</w:t>
      </w:r>
      <w:r w:rsidR="00254AC9">
        <w:t>; and which includes any additional words the Code requires to be included in the name of food</w:t>
      </w:r>
      <w:r w:rsidRPr="006F37D8">
        <w:t xml:space="preserve">. </w:t>
      </w:r>
    </w:p>
    <w:p w14:paraId="22427ACC" w14:textId="361EE12C" w:rsidR="004808E9" w:rsidRPr="00FC4076" w:rsidRDefault="005133FF" w:rsidP="00303F27">
      <w:pPr>
        <w:pStyle w:val="Heading2"/>
      </w:pPr>
      <w:bookmarkStart w:id="56" w:name="_Toc60824987"/>
      <w:bookmarkStart w:id="57" w:name="_Toc61442294"/>
      <w:bookmarkStart w:id="58" w:name="_Toc61449838"/>
      <w:bookmarkStart w:id="59" w:name="_Toc63342482"/>
      <w:bookmarkStart w:id="60" w:name="_Toc71711617"/>
      <w:bookmarkStart w:id="61" w:name="_Toc72673551"/>
      <w:r>
        <w:t>1.</w:t>
      </w:r>
      <w:r w:rsidR="00552BE8">
        <w:t>4</w:t>
      </w:r>
      <w:r>
        <w:tab/>
        <w:t>International r</w:t>
      </w:r>
      <w:r w:rsidR="004808E9" w:rsidRPr="004808E9">
        <w:t>egulations</w:t>
      </w:r>
      <w:bookmarkEnd w:id="56"/>
      <w:bookmarkEnd w:id="57"/>
      <w:bookmarkEnd w:id="58"/>
      <w:bookmarkEnd w:id="59"/>
      <w:bookmarkEnd w:id="60"/>
      <w:bookmarkEnd w:id="61"/>
      <w:r w:rsidR="004808E9">
        <w:t xml:space="preserve">  </w:t>
      </w:r>
    </w:p>
    <w:p w14:paraId="6732BAEF" w14:textId="15C3AD19" w:rsidR="00812519" w:rsidRPr="00812519" w:rsidRDefault="00812519" w:rsidP="00812519">
      <w:pPr>
        <w:rPr>
          <w:rFonts w:cs="Arial"/>
          <w:b/>
          <w:bCs/>
          <w:iCs/>
          <w:color w:val="000000"/>
          <w:szCs w:val="22"/>
          <w:lang w:eastAsia="en-GB" w:bidi="ar-SA"/>
        </w:rPr>
      </w:pPr>
      <w:r w:rsidRPr="000B7EFC">
        <w:rPr>
          <w:rFonts w:cs="Arial"/>
          <w:color w:val="000000"/>
          <w:szCs w:val="22"/>
          <w:lang w:eastAsia="en-GB" w:bidi="ar-SA"/>
        </w:rPr>
        <w:t>In developing food regulatory measures, FSANZ must have regard to the promotion of</w:t>
      </w:r>
      <w:r>
        <w:rPr>
          <w:rFonts w:cs="Arial"/>
          <w:color w:val="000000"/>
          <w:szCs w:val="22"/>
          <w:lang w:eastAsia="en-GB" w:bidi="ar-SA"/>
        </w:rPr>
        <w:t xml:space="preserve"> </w:t>
      </w:r>
      <w:r w:rsidRPr="000B7EFC">
        <w:rPr>
          <w:rFonts w:cs="Arial"/>
          <w:color w:val="000000"/>
          <w:szCs w:val="22"/>
          <w:lang w:eastAsia="en-GB" w:bidi="ar-SA"/>
        </w:rPr>
        <w:t>consistency between domestic and international food standards.</w:t>
      </w:r>
    </w:p>
    <w:p w14:paraId="2C0C3852" w14:textId="6676C509" w:rsidR="00E4229D" w:rsidRPr="00E4229D" w:rsidRDefault="00E4229D" w:rsidP="00424BD1">
      <w:pPr>
        <w:widowControl/>
        <w:spacing w:before="120" w:after="120"/>
        <w:rPr>
          <w:rFonts w:cs="Arial"/>
          <w:szCs w:val="22"/>
          <w:lang w:val="en-AU" w:bidi="ar-SA"/>
        </w:rPr>
      </w:pPr>
      <w:r>
        <w:rPr>
          <w:rFonts w:cs="Arial"/>
          <w:lang w:val="en-AU"/>
        </w:rPr>
        <w:t>There are no Codex</w:t>
      </w:r>
      <w:r w:rsidR="009F4F98">
        <w:rPr>
          <w:rFonts w:cs="Arial"/>
          <w:lang w:val="en-AU"/>
        </w:rPr>
        <w:t>, E</w:t>
      </w:r>
      <w:r w:rsidR="00EC686B">
        <w:rPr>
          <w:rFonts w:cs="Arial"/>
          <w:lang w:val="en-AU"/>
        </w:rPr>
        <w:t xml:space="preserve">uropean </w:t>
      </w:r>
      <w:r w:rsidR="009F4F98">
        <w:rPr>
          <w:rFonts w:cs="Arial"/>
          <w:lang w:val="en-AU"/>
        </w:rPr>
        <w:t>U</w:t>
      </w:r>
      <w:r w:rsidR="00EC686B">
        <w:rPr>
          <w:rFonts w:cs="Arial"/>
          <w:lang w:val="en-AU"/>
        </w:rPr>
        <w:t>nion (EU)</w:t>
      </w:r>
      <w:r w:rsidR="009F4F98">
        <w:rPr>
          <w:rFonts w:cs="Arial"/>
          <w:lang w:val="en-AU"/>
        </w:rPr>
        <w:t xml:space="preserve"> or</w:t>
      </w:r>
      <w:r w:rsidR="00EC686B">
        <w:rPr>
          <w:rFonts w:cs="Arial"/>
          <w:lang w:val="en-AU"/>
        </w:rPr>
        <w:t xml:space="preserve"> United States</w:t>
      </w:r>
      <w:r w:rsidR="009F4F98">
        <w:rPr>
          <w:rFonts w:cs="Arial"/>
          <w:lang w:val="en-AU"/>
        </w:rPr>
        <w:t xml:space="preserve"> </w:t>
      </w:r>
      <w:r w:rsidR="00EC686B">
        <w:rPr>
          <w:rFonts w:cs="Arial"/>
          <w:lang w:val="en-AU"/>
        </w:rPr>
        <w:t>(</w:t>
      </w:r>
      <w:r w:rsidR="009F4F98">
        <w:rPr>
          <w:rFonts w:cs="Arial"/>
          <w:lang w:val="en-AU"/>
        </w:rPr>
        <w:t>US</w:t>
      </w:r>
      <w:r w:rsidR="00EC686B">
        <w:rPr>
          <w:rFonts w:cs="Arial"/>
          <w:lang w:val="en-AU"/>
        </w:rPr>
        <w:t>)</w:t>
      </w:r>
      <w:r w:rsidR="009F4F98">
        <w:rPr>
          <w:rFonts w:cs="Arial"/>
          <w:lang w:val="en-AU"/>
        </w:rPr>
        <w:t xml:space="preserve"> </w:t>
      </w:r>
      <w:r w:rsidR="000C044C">
        <w:rPr>
          <w:rFonts w:cs="Arial"/>
          <w:lang w:val="en-AU"/>
        </w:rPr>
        <w:t xml:space="preserve">commodity </w:t>
      </w:r>
      <w:r w:rsidR="00EC686B">
        <w:rPr>
          <w:rFonts w:cs="Arial"/>
          <w:lang w:val="en-AU"/>
        </w:rPr>
        <w:t xml:space="preserve">standards </w:t>
      </w:r>
      <w:r w:rsidR="009F4F98">
        <w:rPr>
          <w:rFonts w:cs="Arial"/>
          <w:lang w:val="en-AU"/>
        </w:rPr>
        <w:t xml:space="preserve">for </w:t>
      </w:r>
      <w:r w:rsidR="00EC686B">
        <w:rPr>
          <w:rFonts w:cs="Arial"/>
          <w:lang w:val="en-AU"/>
        </w:rPr>
        <w:t>the regulation of</w:t>
      </w:r>
      <w:r w:rsidR="00F30226">
        <w:rPr>
          <w:rFonts w:cs="Arial"/>
          <w:lang w:val="en-AU"/>
        </w:rPr>
        <w:t xml:space="preserve"> electrolyte drinks </w:t>
      </w:r>
      <w:r w:rsidR="009F4F98">
        <w:rPr>
          <w:rFonts w:cs="Arial"/>
          <w:lang w:val="en-AU"/>
        </w:rPr>
        <w:t>or sports drinks</w:t>
      </w:r>
      <w:r w:rsidR="00A44DA2">
        <w:rPr>
          <w:rFonts w:cs="Arial"/>
          <w:lang w:val="en-AU"/>
        </w:rPr>
        <w:t>.</w:t>
      </w:r>
      <w:r w:rsidR="00EC686B">
        <w:rPr>
          <w:rFonts w:cs="Arial"/>
          <w:lang w:val="en-AU"/>
        </w:rPr>
        <w:t xml:space="preserve"> In the EU,</w:t>
      </w:r>
      <w:r w:rsidR="00F30226">
        <w:rPr>
          <w:rFonts w:cs="Arial"/>
          <w:lang w:val="en-AU"/>
        </w:rPr>
        <w:t xml:space="preserve"> electrolyte drink </w:t>
      </w:r>
      <w:r w:rsidR="00EC686B">
        <w:rPr>
          <w:rFonts w:cs="Arial"/>
          <w:lang w:val="en-AU"/>
        </w:rPr>
        <w:t>composition</w:t>
      </w:r>
      <w:r w:rsidR="00455A6C">
        <w:rPr>
          <w:rFonts w:cs="Arial"/>
          <w:lang w:val="en-AU"/>
        </w:rPr>
        <w:t xml:space="preserve"> is guided by</w:t>
      </w:r>
      <w:r w:rsidR="00EC686B">
        <w:rPr>
          <w:rFonts w:cs="Arial"/>
          <w:lang w:val="en-AU"/>
        </w:rPr>
        <w:t xml:space="preserve"> the European Food Safety Authority (EFSA</w:t>
      </w:r>
      <w:r w:rsidR="0065247D">
        <w:rPr>
          <w:rFonts w:cs="Arial"/>
          <w:lang w:val="en-AU"/>
        </w:rPr>
        <w:t>)</w:t>
      </w:r>
      <w:r w:rsidR="00455A6C" w:rsidRPr="00455A6C">
        <w:rPr>
          <w:rFonts w:cs="Arial"/>
          <w:szCs w:val="22"/>
          <w:lang w:val="en-AU" w:bidi="ar-SA"/>
        </w:rPr>
        <w:t xml:space="preserve"> </w:t>
      </w:r>
      <w:r w:rsidR="00455A6C">
        <w:rPr>
          <w:rFonts w:cs="Arial"/>
          <w:szCs w:val="22"/>
          <w:lang w:val="en-AU" w:bidi="ar-SA"/>
        </w:rPr>
        <w:t xml:space="preserve">scientific opinions on </w:t>
      </w:r>
      <w:r w:rsidR="0052629D">
        <w:rPr>
          <w:rFonts w:cs="Arial"/>
          <w:szCs w:val="22"/>
          <w:lang w:val="en-AU" w:bidi="ar-SA"/>
        </w:rPr>
        <w:t>carbohydrate</w:t>
      </w:r>
      <w:r w:rsidR="00891DC4">
        <w:rPr>
          <w:rFonts w:cs="Arial"/>
          <w:szCs w:val="22"/>
          <w:lang w:val="en-AU" w:bidi="ar-SA"/>
        </w:rPr>
        <w:t xml:space="preserve"> </w:t>
      </w:r>
      <w:r w:rsidR="00455A6C">
        <w:rPr>
          <w:rFonts w:cs="Arial"/>
          <w:szCs w:val="22"/>
          <w:lang w:val="en-AU" w:bidi="ar-SA"/>
        </w:rPr>
        <w:t xml:space="preserve">and electrolyte criteria for health claims </w:t>
      </w:r>
      <w:r w:rsidR="000C044C">
        <w:rPr>
          <w:rFonts w:cs="Arial"/>
          <w:szCs w:val="22"/>
          <w:lang w:val="en-AU" w:bidi="ar-SA"/>
        </w:rPr>
        <w:t xml:space="preserve">on ‘carbohydrate electrolyte solutions’ </w:t>
      </w:r>
      <w:r w:rsidR="00455A6C">
        <w:rPr>
          <w:rFonts w:cs="Arial"/>
          <w:szCs w:val="22"/>
          <w:lang w:val="en-AU" w:bidi="ar-SA"/>
        </w:rPr>
        <w:t>about hydration and physical performance</w:t>
      </w:r>
      <w:r w:rsidR="0065247D">
        <w:rPr>
          <w:rFonts w:cs="Arial"/>
          <w:szCs w:val="22"/>
          <w:lang w:val="en-AU" w:bidi="ar-SA"/>
        </w:rPr>
        <w:t>,</w:t>
      </w:r>
      <w:r w:rsidR="00455A6C">
        <w:rPr>
          <w:rFonts w:cs="Arial"/>
          <w:lang w:val="en-AU"/>
        </w:rPr>
        <w:t xml:space="preserve"> as summarised in their technical advice</w:t>
      </w:r>
      <w:r w:rsidR="00EC686B">
        <w:rPr>
          <w:rStyle w:val="FootnoteReference"/>
          <w:rFonts w:cs="Arial"/>
          <w:lang w:val="en-AU"/>
        </w:rPr>
        <w:footnoteReference w:id="7"/>
      </w:r>
      <w:r w:rsidR="007E4F7B">
        <w:rPr>
          <w:rFonts w:cs="Arial"/>
          <w:szCs w:val="22"/>
          <w:lang w:val="en-AU" w:bidi="ar-SA"/>
        </w:rPr>
        <w:t>. I</w:t>
      </w:r>
      <w:r w:rsidR="00EC686B">
        <w:rPr>
          <w:rFonts w:cs="Arial"/>
          <w:lang w:val="en-AU"/>
        </w:rPr>
        <w:t xml:space="preserve">n </w:t>
      </w:r>
      <w:r w:rsidR="009F4F98">
        <w:rPr>
          <w:rFonts w:cs="Arial"/>
          <w:lang w:val="en-AU"/>
        </w:rPr>
        <w:t xml:space="preserve">the US, </w:t>
      </w:r>
      <w:r w:rsidR="00EC686B">
        <w:rPr>
          <w:rFonts w:cs="Arial"/>
          <w:lang w:val="en-AU"/>
        </w:rPr>
        <w:t>the</w:t>
      </w:r>
      <w:r w:rsidR="007E4F7B">
        <w:rPr>
          <w:rFonts w:cs="Arial"/>
          <w:lang w:val="en-AU"/>
        </w:rPr>
        <w:t xml:space="preserve"> American College of Sports Medicine</w:t>
      </w:r>
      <w:r w:rsidR="00EC686B">
        <w:rPr>
          <w:rFonts w:cs="Arial"/>
          <w:lang w:val="en-AU"/>
        </w:rPr>
        <w:t xml:space="preserve"> </w:t>
      </w:r>
      <w:r w:rsidR="007E4F7B">
        <w:rPr>
          <w:rFonts w:cs="Arial"/>
          <w:lang w:val="en-AU"/>
        </w:rPr>
        <w:t>(</w:t>
      </w:r>
      <w:r w:rsidR="009F4F98">
        <w:rPr>
          <w:rFonts w:cs="Arial"/>
          <w:lang w:val="en-AU"/>
        </w:rPr>
        <w:t>ACSM</w:t>
      </w:r>
      <w:r w:rsidR="007E4F7B">
        <w:rPr>
          <w:rFonts w:cs="Arial"/>
          <w:lang w:val="en-AU"/>
        </w:rPr>
        <w:t>)</w:t>
      </w:r>
      <w:r w:rsidR="009F4F98">
        <w:rPr>
          <w:rStyle w:val="FootnoteReference"/>
          <w:rFonts w:cs="Arial"/>
          <w:lang w:val="en-AU"/>
        </w:rPr>
        <w:footnoteReference w:id="8"/>
      </w:r>
      <w:r w:rsidR="009F4F98">
        <w:rPr>
          <w:rFonts w:cs="Arial"/>
          <w:lang w:val="en-AU"/>
        </w:rPr>
        <w:t xml:space="preserve"> </w:t>
      </w:r>
      <w:r w:rsidR="007E4F7B">
        <w:rPr>
          <w:rFonts w:cs="Arial"/>
          <w:lang w:val="en-AU"/>
        </w:rPr>
        <w:t xml:space="preserve">has developed a </w:t>
      </w:r>
      <w:r w:rsidR="007E4F7B">
        <w:rPr>
          <w:lang w:val="en-US"/>
        </w:rPr>
        <w:t>position on Exercise and Fluid Replacement regard</w:t>
      </w:r>
      <w:r w:rsidR="0065247D">
        <w:rPr>
          <w:lang w:val="en-US"/>
        </w:rPr>
        <w:t>ing</w:t>
      </w:r>
      <w:r w:rsidR="007E4F7B">
        <w:rPr>
          <w:lang w:val="en-US"/>
        </w:rPr>
        <w:t xml:space="preserve"> water and electrolyte intake during </w:t>
      </w:r>
      <w:r w:rsidR="0065247D">
        <w:rPr>
          <w:lang w:val="en-US"/>
        </w:rPr>
        <w:t xml:space="preserve">strenuous </w:t>
      </w:r>
      <w:r w:rsidR="007E4F7B">
        <w:rPr>
          <w:lang w:val="en-US"/>
        </w:rPr>
        <w:t>physical activity.</w:t>
      </w:r>
    </w:p>
    <w:p w14:paraId="1708BF52" w14:textId="3BEC183A" w:rsidR="000C044C" w:rsidRPr="00D53297" w:rsidRDefault="0034136E" w:rsidP="000C044C">
      <w:pPr>
        <w:pStyle w:val="Heading2"/>
      </w:pPr>
      <w:bookmarkStart w:id="62" w:name="_Toc60824988"/>
      <w:bookmarkStart w:id="63" w:name="_Toc61442295"/>
      <w:bookmarkStart w:id="64" w:name="_Toc61449839"/>
      <w:bookmarkStart w:id="65" w:name="_Toc63342483"/>
      <w:bookmarkStart w:id="66" w:name="_Toc71711618"/>
      <w:bookmarkStart w:id="67" w:name="_Toc72673552"/>
      <w:r w:rsidRPr="00FC4076">
        <w:t>1.</w:t>
      </w:r>
      <w:r w:rsidR="00552BE8">
        <w:t>5</w:t>
      </w:r>
      <w:r w:rsidRPr="00FC4076">
        <w:tab/>
      </w:r>
      <w:r w:rsidR="005133FF">
        <w:t>Electrolyte d</w:t>
      </w:r>
      <w:r w:rsidR="000C044C">
        <w:t xml:space="preserve">rink </w:t>
      </w:r>
      <w:r w:rsidR="005133FF">
        <w:t>c</w:t>
      </w:r>
      <w:r w:rsidR="000C044C" w:rsidRPr="00D53297">
        <w:t>onsumption</w:t>
      </w:r>
      <w:bookmarkEnd w:id="62"/>
      <w:bookmarkEnd w:id="63"/>
      <w:bookmarkEnd w:id="64"/>
      <w:bookmarkEnd w:id="65"/>
      <w:bookmarkEnd w:id="66"/>
      <w:bookmarkEnd w:id="67"/>
      <w:r w:rsidR="000C044C" w:rsidRPr="00D53297">
        <w:t xml:space="preserve"> </w:t>
      </w:r>
      <w:r w:rsidR="000C044C">
        <w:t xml:space="preserve"> </w:t>
      </w:r>
    </w:p>
    <w:p w14:paraId="7851A913" w14:textId="6D3E9F2E" w:rsidR="00B25E13" w:rsidRPr="00B25E13" w:rsidRDefault="00B25E13" w:rsidP="00B25E13">
      <w:pPr>
        <w:pStyle w:val="CommentText"/>
        <w:rPr>
          <w:sz w:val="22"/>
          <w:szCs w:val="22"/>
          <w:lang w:bidi="ar-SA"/>
        </w:rPr>
      </w:pPr>
      <w:bookmarkStart w:id="68" w:name="_Toc60824989"/>
      <w:bookmarkStart w:id="69" w:name="_Toc61442296"/>
      <w:bookmarkStart w:id="70" w:name="_Toc61449840"/>
      <w:bookmarkStart w:id="71" w:name="_Toc63342484"/>
      <w:r>
        <w:rPr>
          <w:sz w:val="22"/>
          <w:szCs w:val="22"/>
        </w:rPr>
        <w:t xml:space="preserve">In assessing the </w:t>
      </w:r>
      <w:r w:rsidR="0064746C">
        <w:rPr>
          <w:sz w:val="22"/>
          <w:szCs w:val="22"/>
        </w:rPr>
        <w:t>p</w:t>
      </w:r>
      <w:r>
        <w:rPr>
          <w:sz w:val="22"/>
          <w:szCs w:val="22"/>
        </w:rPr>
        <w:t xml:space="preserve">roposal, and in considering the modified approach outlined in this paper, FSANZ had regard to data relating to the consumption of electrolyte drinks and electrolyte drink bases in Australia and New Zealand. That data was extracted by FSANZ from a number of sources as specified in </w:t>
      </w:r>
      <w:r w:rsidR="0064746C">
        <w:rPr>
          <w:sz w:val="22"/>
          <w:szCs w:val="22"/>
        </w:rPr>
        <w:t>this section</w:t>
      </w:r>
      <w:r>
        <w:rPr>
          <w:sz w:val="22"/>
          <w:szCs w:val="22"/>
        </w:rPr>
        <w:t xml:space="preserve"> and</w:t>
      </w:r>
      <w:r w:rsidR="0064746C">
        <w:rPr>
          <w:sz w:val="22"/>
          <w:szCs w:val="22"/>
        </w:rPr>
        <w:t xml:space="preserve"> section</w:t>
      </w:r>
      <w:r>
        <w:rPr>
          <w:sz w:val="22"/>
          <w:szCs w:val="22"/>
        </w:rPr>
        <w:t xml:space="preserve"> 1.6 below.</w:t>
      </w:r>
    </w:p>
    <w:p w14:paraId="0C6EC40B" w14:textId="661CB1A6" w:rsidR="000C044C" w:rsidRPr="00D53297" w:rsidRDefault="0096272F" w:rsidP="000C044C">
      <w:pPr>
        <w:pStyle w:val="Heading3"/>
      </w:pPr>
      <w:bookmarkStart w:id="72" w:name="_Toc71711619"/>
      <w:bookmarkStart w:id="73" w:name="_Toc72673553"/>
      <w:r>
        <w:t>1.5</w:t>
      </w:r>
      <w:r w:rsidR="00031B61">
        <w:t>.1</w:t>
      </w:r>
      <w:r w:rsidR="000C044C">
        <w:tab/>
      </w:r>
      <w:r w:rsidR="000C044C" w:rsidRPr="00D53297">
        <w:t>Australia</w:t>
      </w:r>
      <w:bookmarkEnd w:id="68"/>
      <w:bookmarkEnd w:id="69"/>
      <w:bookmarkEnd w:id="70"/>
      <w:bookmarkEnd w:id="71"/>
      <w:bookmarkEnd w:id="72"/>
      <w:bookmarkEnd w:id="73"/>
    </w:p>
    <w:p w14:paraId="55A82E10" w14:textId="3E026A69" w:rsidR="00D53297" w:rsidRPr="00EC2138" w:rsidRDefault="00D53297" w:rsidP="000C044C">
      <w:pPr>
        <w:widowControl/>
        <w:spacing w:before="120" w:after="120"/>
        <w:rPr>
          <w:i/>
        </w:rPr>
      </w:pPr>
      <w:r>
        <w:t>The consumption of</w:t>
      </w:r>
      <w:r w:rsidR="00F30226">
        <w:t xml:space="preserve"> electrolyte drinks </w:t>
      </w:r>
      <w:r w:rsidR="0065247D">
        <w:t xml:space="preserve">by </w:t>
      </w:r>
      <w:r>
        <w:t xml:space="preserve">the Australian population </w:t>
      </w:r>
      <w:r w:rsidR="000C044C">
        <w:t>was determined from</w:t>
      </w:r>
      <w:r>
        <w:t xml:space="preserve"> the </w:t>
      </w:r>
      <w:r w:rsidRPr="00F33347">
        <w:rPr>
          <w:rFonts w:cs="Arial"/>
          <w:iCs/>
        </w:rPr>
        <w:t xml:space="preserve">average of two days of </w:t>
      </w:r>
      <w:r>
        <w:rPr>
          <w:rFonts w:cs="Arial"/>
          <w:iCs/>
        </w:rPr>
        <w:t xml:space="preserve">24 hour recall </w:t>
      </w:r>
      <w:r w:rsidRPr="00F33347">
        <w:rPr>
          <w:rFonts w:cs="Arial"/>
          <w:iCs/>
        </w:rPr>
        <w:t xml:space="preserve">data from the </w:t>
      </w:r>
      <w:r w:rsidRPr="00EC2138">
        <w:rPr>
          <w:rFonts w:cs="Arial"/>
          <w:i/>
          <w:iCs/>
        </w:rPr>
        <w:t>2011-12 National Nutrition and Physical Activity Survey</w:t>
      </w:r>
      <w:r>
        <w:rPr>
          <w:rFonts w:cs="Arial"/>
          <w:iCs/>
        </w:rPr>
        <w:t xml:space="preserve"> (n=7736 respondents aged 2 years and above) (ABS, 2014) and the estimates of apparent consumption per capita of selected food </w:t>
      </w:r>
      <w:r>
        <w:rPr>
          <w:rFonts w:cs="Arial"/>
          <w:iCs/>
        </w:rPr>
        <w:lastRenderedPageBreak/>
        <w:t xml:space="preserve">based on sales of products in Australia from the </w:t>
      </w:r>
      <w:r w:rsidRPr="00EC2138">
        <w:rPr>
          <w:rFonts w:cs="Arial"/>
          <w:i/>
          <w:iCs/>
        </w:rPr>
        <w:t>2019-2020 Apparent Consumption of Selected Foodstuffs</w:t>
      </w:r>
      <w:r>
        <w:rPr>
          <w:rFonts w:cs="Arial"/>
          <w:i/>
          <w:iCs/>
        </w:rPr>
        <w:t xml:space="preserve"> </w:t>
      </w:r>
      <w:r w:rsidRPr="00F9610F">
        <w:rPr>
          <w:rFonts w:cs="Arial"/>
          <w:iCs/>
        </w:rPr>
        <w:t>(ABS, 2020</w:t>
      </w:r>
      <w:r w:rsidRPr="002C4062">
        <w:rPr>
          <w:rFonts w:cs="Arial"/>
          <w:iCs/>
        </w:rPr>
        <w:t>)</w:t>
      </w:r>
      <w:r w:rsidRPr="00F9610F">
        <w:rPr>
          <w:rFonts w:cs="Arial"/>
          <w:iCs/>
        </w:rPr>
        <w:t xml:space="preserve">. </w:t>
      </w:r>
    </w:p>
    <w:p w14:paraId="7E8916C5" w14:textId="77777777" w:rsidR="00D53297" w:rsidRPr="00303F27" w:rsidRDefault="00D53297" w:rsidP="00303F27">
      <w:pPr>
        <w:pStyle w:val="Heading4"/>
      </w:pPr>
      <w:r w:rsidRPr="00303F27">
        <w:t>2011-12 National Nutrition and Physical Activity Survey Consumption Data</w:t>
      </w:r>
    </w:p>
    <w:p w14:paraId="6C3B7F45" w14:textId="440466F7" w:rsidR="00D53297" w:rsidRDefault="00D53297" w:rsidP="00424BD1">
      <w:pPr>
        <w:widowControl/>
        <w:spacing w:before="120" w:after="120"/>
      </w:pPr>
      <w:r>
        <w:t>In Australia, 2% of the survey population (aged 2 years of age and above) reported that they consumed</w:t>
      </w:r>
      <w:r w:rsidR="00F30226">
        <w:t xml:space="preserve"> electrolyte drinks </w:t>
      </w:r>
      <w:r w:rsidR="00187A2D">
        <w:t xml:space="preserve">(reported as ‘sports drink’) </w:t>
      </w:r>
      <w:r>
        <w:t>on either or both survey days, and consume a mean of 334 </w:t>
      </w:r>
      <w:r w:rsidRPr="00B03EEF">
        <w:t>g/day</w:t>
      </w:r>
      <w:r>
        <w:t xml:space="preserve"> (consumer</w:t>
      </w:r>
      <w:r w:rsidR="005B468A">
        <w:t>s</w:t>
      </w:r>
      <w:r>
        <w:t xml:space="preserve"> only)</w:t>
      </w:r>
      <w:r w:rsidRPr="00B03EEF">
        <w:t xml:space="preserve">. </w:t>
      </w:r>
      <w:r>
        <w:t>High consumers of</w:t>
      </w:r>
      <w:r w:rsidR="00F30226">
        <w:t xml:space="preserve"> electrolyte drinks </w:t>
      </w:r>
      <w:r>
        <w:t>(i.e. consumption at the 90</w:t>
      </w:r>
      <w:r w:rsidRPr="002B2BBD">
        <w:rPr>
          <w:vertAlign w:val="superscript"/>
        </w:rPr>
        <w:t>th</w:t>
      </w:r>
      <w:r>
        <w:t xml:space="preserve"> percentile) consumed 624 g/day. In comparison, 46% of the population reported consuming water based beverages (e.g. soft drinks, cordials; excluding </w:t>
      </w:r>
      <w:r w:rsidR="00CF3C9B">
        <w:t>electrolyte drinks</w:t>
      </w:r>
      <w:r>
        <w:t xml:space="preserve">) across the two survey days </w:t>
      </w:r>
      <w:r w:rsidR="0065247D">
        <w:t>at</w:t>
      </w:r>
      <w:r>
        <w:t xml:space="preserve"> a mean of 413 g/day, and high consumers </w:t>
      </w:r>
      <w:r w:rsidR="00187A2D">
        <w:t>at</w:t>
      </w:r>
      <w:r>
        <w:t xml:space="preserve"> 859 g/day.</w:t>
      </w:r>
    </w:p>
    <w:p w14:paraId="1154820F" w14:textId="1E9D30DB" w:rsidR="00D53297" w:rsidRDefault="00D53297" w:rsidP="00031B61">
      <w:pPr>
        <w:widowControl/>
        <w:spacing w:before="120" w:after="120"/>
      </w:pPr>
      <w:r>
        <w:t>For Australian children aged 2-14 years, consumption of</w:t>
      </w:r>
      <w:r w:rsidR="00F30226">
        <w:t xml:space="preserve"> electrolyte drinks </w:t>
      </w:r>
      <w:r w:rsidR="00031B61">
        <w:t>averaged</w:t>
      </w:r>
      <w:r>
        <w:t xml:space="preserve"> 262 g/day for consumers only. Two percent of this population group reported consuming</w:t>
      </w:r>
      <w:r w:rsidR="0052629D">
        <w:t xml:space="preserve"> electrolyte drinks.</w:t>
      </w:r>
      <w:r>
        <w:t xml:space="preserve"> Due to the low number of consumers a valid consumption at the 90</w:t>
      </w:r>
      <w:r w:rsidRPr="008C3820">
        <w:rPr>
          <w:vertAlign w:val="superscript"/>
        </w:rPr>
        <w:t>th</w:t>
      </w:r>
      <w:r>
        <w:t xml:space="preserve"> percentile was not able to be derived.</w:t>
      </w:r>
    </w:p>
    <w:p w14:paraId="25EF657C" w14:textId="5D7A21D3" w:rsidR="00D53297" w:rsidRDefault="00D53297" w:rsidP="00424BD1">
      <w:pPr>
        <w:widowControl/>
        <w:spacing w:before="120" w:after="120"/>
      </w:pPr>
      <w:r>
        <w:t>The</w:t>
      </w:r>
      <w:r w:rsidR="007E0EB5">
        <w:t xml:space="preserve"> specific</w:t>
      </w:r>
      <w:r>
        <w:t xml:space="preserve"> brand of</w:t>
      </w:r>
      <w:r w:rsidR="00F30226">
        <w:t xml:space="preserve"> electrolyte drink </w:t>
      </w:r>
      <w:r>
        <w:t>consumed</w:t>
      </w:r>
      <w:r w:rsidR="007E0EB5">
        <w:t xml:space="preserve"> by each respondent</w:t>
      </w:r>
      <w:r>
        <w:t xml:space="preserve"> was not </w:t>
      </w:r>
      <w:r w:rsidR="00031B61">
        <w:t>collected</w:t>
      </w:r>
      <w:r>
        <w:t xml:space="preserve"> in this survey. Instead, consumption was captured under the following broad categories: sports drink ready to drink, or sports drink from dry powder. </w:t>
      </w:r>
      <w:r w:rsidR="007E0EB5">
        <w:t>The AUSNUT 2011-13 food composition data Food Details File (</w:t>
      </w:r>
      <w:r w:rsidR="00796C8B" w:rsidRPr="00796C8B">
        <w:t>FSANZ, 2016</w:t>
      </w:r>
      <w:r w:rsidR="007E0EB5">
        <w:t xml:space="preserve">) notes that these foods capture ‘All brands’. </w:t>
      </w:r>
      <w:r>
        <w:t xml:space="preserve">Of the two types, ready to drink sports drinks were mostly commonly reported as consumed. The sports drinks from dry powder were </w:t>
      </w:r>
      <w:r w:rsidR="007E0EB5">
        <w:t>converted to</w:t>
      </w:r>
      <w:r>
        <w:t xml:space="preserve"> beverages in their ready to drink form</w:t>
      </w:r>
      <w:r w:rsidR="007E0EB5">
        <w:t xml:space="preserve"> before </w:t>
      </w:r>
      <w:r w:rsidR="005922BF">
        <w:t>the consumption figures above were derived</w:t>
      </w:r>
      <w:r>
        <w:t xml:space="preserve">. </w:t>
      </w:r>
      <w:r w:rsidR="00BC625E">
        <w:t xml:space="preserve"> </w:t>
      </w:r>
    </w:p>
    <w:p w14:paraId="0038E75E" w14:textId="77777777" w:rsidR="00D53297" w:rsidRPr="00C01F77" w:rsidRDefault="00D53297" w:rsidP="00303F27">
      <w:pPr>
        <w:pStyle w:val="Heading4"/>
        <w:rPr>
          <w:rFonts w:eastAsiaTheme="majorEastAsia"/>
        </w:rPr>
      </w:pPr>
      <w:r w:rsidRPr="00C01F77">
        <w:rPr>
          <w:rFonts w:eastAsiaTheme="majorEastAsia"/>
        </w:rPr>
        <w:t xml:space="preserve">Apparent Consumption Data </w:t>
      </w:r>
    </w:p>
    <w:p w14:paraId="74CEBCBA" w14:textId="166D987B" w:rsidR="00D53297" w:rsidRDefault="00951E04" w:rsidP="00424BD1">
      <w:pPr>
        <w:widowControl/>
        <w:spacing w:before="120" w:after="120"/>
      </w:pPr>
      <w:r>
        <w:t xml:space="preserve">In the context of this </w:t>
      </w:r>
      <w:r w:rsidR="00417F12">
        <w:t>C</w:t>
      </w:r>
      <w:r w:rsidR="00E33499">
        <w:t xml:space="preserve">onsultation paper </w:t>
      </w:r>
      <w:r>
        <w:t>and the data presented, a</w:t>
      </w:r>
      <w:r w:rsidR="00D53297" w:rsidRPr="009A43E9">
        <w:t xml:space="preserve">pparent consumption </w:t>
      </w:r>
      <w:r w:rsidR="00D53297">
        <w:t>data</w:t>
      </w:r>
      <w:r w:rsidR="00D53297" w:rsidRPr="009A43E9">
        <w:t xml:space="preserve"> </w:t>
      </w:r>
      <w:r>
        <w:t xml:space="preserve">is a </w:t>
      </w:r>
      <w:r w:rsidR="00D53297" w:rsidRPr="009A43E9">
        <w:t>measure</w:t>
      </w:r>
      <w:r>
        <w:t xml:space="preserve"> of</w:t>
      </w:r>
      <w:r w:rsidR="00D53297" w:rsidRPr="009A43E9">
        <w:t xml:space="preserve"> the amount of food</w:t>
      </w:r>
      <w:r w:rsidR="00D53297">
        <w:t xml:space="preserve"> purchased from sales data, however </w:t>
      </w:r>
      <w:r w:rsidR="007522B0">
        <w:t xml:space="preserve">it </w:t>
      </w:r>
      <w:r w:rsidR="00D53297" w:rsidRPr="009A43E9">
        <w:t>does not measure actual consumption as it does not account for food purchases from fast food outlets, cafes and restaurants, home grown or produced foods, wild harvested foods, or foods not consumed due to waste or storage</w:t>
      </w:r>
      <w:r w:rsidR="00D53297">
        <w:t xml:space="preserve"> (ABS</w:t>
      </w:r>
      <w:r w:rsidR="00D53297">
        <w:rPr>
          <w:rFonts w:cs="Arial"/>
          <w:iCs/>
        </w:rPr>
        <w:t>, 2020)</w:t>
      </w:r>
      <w:r w:rsidR="00D53297" w:rsidRPr="009A43E9">
        <w:t>.</w:t>
      </w:r>
      <w:r w:rsidR="00D53297">
        <w:t xml:space="preserve"> </w:t>
      </w:r>
      <w:r>
        <w:t xml:space="preserve">It is also expressed on a per person of the population basis, therefore is not reflective of consumption amounts for consumers only. </w:t>
      </w:r>
      <w:r w:rsidR="00D53297">
        <w:t>The Australian Bureau of Statistics (ABS) reported that the mean daily apparent consumption of</w:t>
      </w:r>
      <w:r w:rsidR="00F30226">
        <w:t xml:space="preserve"> electrolyte drinks </w:t>
      </w:r>
      <w:r w:rsidR="00D53297">
        <w:t>from 2019 to 2020 was 7.3 mL/person/day, which was a 0.1 mL increase from the 2018-2019 period (ABS</w:t>
      </w:r>
      <w:r w:rsidR="00D53297">
        <w:rPr>
          <w:rFonts w:cs="Arial"/>
          <w:iCs/>
        </w:rPr>
        <w:t>, 2020).</w:t>
      </w:r>
    </w:p>
    <w:p w14:paraId="331EF894" w14:textId="7DF3B40F" w:rsidR="000C044C" w:rsidRDefault="00031B61" w:rsidP="000C044C">
      <w:pPr>
        <w:pStyle w:val="Heading3"/>
      </w:pPr>
      <w:bookmarkStart w:id="74" w:name="_Toc60824990"/>
      <w:bookmarkStart w:id="75" w:name="_Toc61442297"/>
      <w:bookmarkStart w:id="76" w:name="_Toc61449841"/>
      <w:bookmarkStart w:id="77" w:name="_Toc63342485"/>
      <w:bookmarkStart w:id="78" w:name="_Toc71711620"/>
      <w:bookmarkStart w:id="79" w:name="_Toc72673554"/>
      <w:r>
        <w:t>1.</w:t>
      </w:r>
      <w:r w:rsidR="00552BE8">
        <w:t>5</w:t>
      </w:r>
      <w:r>
        <w:t>.2</w:t>
      </w:r>
      <w:r>
        <w:tab/>
      </w:r>
      <w:r w:rsidR="000C044C">
        <w:t>New Zealand</w:t>
      </w:r>
      <w:bookmarkEnd w:id="74"/>
      <w:bookmarkEnd w:id="75"/>
      <w:bookmarkEnd w:id="76"/>
      <w:bookmarkEnd w:id="77"/>
      <w:bookmarkEnd w:id="78"/>
      <w:bookmarkEnd w:id="79"/>
    </w:p>
    <w:p w14:paraId="534D1FF8" w14:textId="4EF7BF19" w:rsidR="000C044C" w:rsidRDefault="000C044C" w:rsidP="000C044C">
      <w:pPr>
        <w:widowControl/>
        <w:spacing w:before="120" w:after="120"/>
        <w:rPr>
          <w:rFonts w:cs="Arial"/>
          <w:iCs/>
        </w:rPr>
      </w:pPr>
      <w:r>
        <w:t>The consumption of</w:t>
      </w:r>
      <w:r w:rsidR="00F30226">
        <w:t xml:space="preserve"> electrolyte drinks </w:t>
      </w:r>
      <w:r>
        <w:t xml:space="preserve">by the New Zealand population was </w:t>
      </w:r>
      <w:r w:rsidR="00031B61">
        <w:t>determined from</w:t>
      </w:r>
      <w:r>
        <w:t xml:space="preserve"> National Nutrition Surveys using 24 hour recall data. </w:t>
      </w:r>
      <w:r w:rsidRPr="00F33347">
        <w:rPr>
          <w:rFonts w:cs="Arial"/>
          <w:iCs/>
        </w:rPr>
        <w:t xml:space="preserve">One day of food consumption data </w:t>
      </w:r>
      <w:r>
        <w:rPr>
          <w:rFonts w:cs="Arial"/>
          <w:iCs/>
        </w:rPr>
        <w:t>for</w:t>
      </w:r>
      <w:r w:rsidRPr="00F33347">
        <w:rPr>
          <w:rFonts w:cs="Arial"/>
          <w:iCs/>
        </w:rPr>
        <w:t xml:space="preserve"> </w:t>
      </w:r>
      <w:r>
        <w:rPr>
          <w:rFonts w:cs="Arial"/>
          <w:iCs/>
        </w:rPr>
        <w:t xml:space="preserve">each </w:t>
      </w:r>
      <w:r w:rsidRPr="00F33347">
        <w:rPr>
          <w:rFonts w:cs="Arial"/>
          <w:iCs/>
        </w:rPr>
        <w:t>of the NZ surveys</w:t>
      </w:r>
      <w:r>
        <w:rPr>
          <w:rFonts w:cs="Arial"/>
          <w:iCs/>
        </w:rPr>
        <w:t xml:space="preserve"> (</w:t>
      </w:r>
      <w:r w:rsidRPr="00EC2138">
        <w:rPr>
          <w:rFonts w:cs="Arial"/>
          <w:i/>
          <w:iCs/>
        </w:rPr>
        <w:t>2002 New Zealand National Children’s Nutrition Survey</w:t>
      </w:r>
      <w:r>
        <w:rPr>
          <w:rFonts w:cs="Arial"/>
          <w:i/>
          <w:iCs/>
        </w:rPr>
        <w:t xml:space="preserve"> </w:t>
      </w:r>
      <w:r w:rsidRPr="00F9610F">
        <w:rPr>
          <w:rFonts w:cs="Arial"/>
          <w:iCs/>
        </w:rPr>
        <w:t>(n=3275 respondents aged 5-14 years) (</w:t>
      </w:r>
      <w:r>
        <w:rPr>
          <w:rFonts w:cs="Arial"/>
          <w:iCs/>
        </w:rPr>
        <w:t>Ministry of Health 2003</w:t>
      </w:r>
      <w:r w:rsidRPr="00F9610F">
        <w:rPr>
          <w:rFonts w:cs="Arial"/>
          <w:iCs/>
        </w:rPr>
        <w:t>)</w:t>
      </w:r>
      <w:r w:rsidRPr="00EC2138">
        <w:rPr>
          <w:rFonts w:cs="Arial"/>
          <w:i/>
          <w:iCs/>
        </w:rPr>
        <w:t>, 2008-09 New Zealand Adult Nutrition Survey</w:t>
      </w:r>
      <w:r>
        <w:rPr>
          <w:rFonts w:cs="Arial"/>
          <w:i/>
          <w:iCs/>
        </w:rPr>
        <w:t xml:space="preserve"> </w:t>
      </w:r>
      <w:r w:rsidRPr="00F9610F">
        <w:rPr>
          <w:rFonts w:cs="Arial"/>
          <w:iCs/>
        </w:rPr>
        <w:t>(n=4721 respondents aged 15 years and above) (</w:t>
      </w:r>
      <w:r w:rsidRPr="002C4062">
        <w:rPr>
          <w:rFonts w:cs="Arial"/>
          <w:iCs/>
        </w:rPr>
        <w:t>University of Otago &amp; Ministry of Health 2011</w:t>
      </w:r>
      <w:r>
        <w:rPr>
          <w:rFonts w:cs="Arial"/>
          <w:iCs/>
        </w:rPr>
        <w:t>)</w:t>
      </w:r>
      <w:r w:rsidR="003779EF">
        <w:rPr>
          <w:rFonts w:cs="Arial"/>
          <w:iCs/>
        </w:rPr>
        <w:t>)</w:t>
      </w:r>
      <w:r w:rsidRPr="00F33347">
        <w:rPr>
          <w:rFonts w:cs="Arial"/>
          <w:iCs/>
        </w:rPr>
        <w:t xml:space="preserve"> were used </w:t>
      </w:r>
      <w:r>
        <w:rPr>
          <w:rFonts w:cs="Arial"/>
          <w:iCs/>
        </w:rPr>
        <w:t>to derive consumption of</w:t>
      </w:r>
      <w:r w:rsidR="0052629D">
        <w:rPr>
          <w:rFonts w:cs="Arial"/>
          <w:iCs/>
        </w:rPr>
        <w:t xml:space="preserve"> electrolyte drinks.</w:t>
      </w:r>
      <w:r w:rsidR="00E5249D" w:rsidRPr="00E5249D">
        <w:t xml:space="preserve"> </w:t>
      </w:r>
    </w:p>
    <w:p w14:paraId="46331976" w14:textId="5E75B5FA" w:rsidR="000C044C" w:rsidRDefault="000C044C" w:rsidP="000C044C">
      <w:pPr>
        <w:widowControl/>
        <w:spacing w:before="120" w:after="120"/>
      </w:pPr>
      <w:r>
        <w:t>In New Zealand, 1% of the nutrition survey population aged 15 years and above reported consuming</w:t>
      </w:r>
      <w:r w:rsidR="00F30226">
        <w:t xml:space="preserve"> electrolyte drinks </w:t>
      </w:r>
      <w:r>
        <w:t>at</w:t>
      </w:r>
      <w:r w:rsidRPr="00B03EEF">
        <w:t xml:space="preserve"> </w:t>
      </w:r>
      <w:r>
        <w:t>a mean of 768 </w:t>
      </w:r>
      <w:r w:rsidRPr="00B03EEF">
        <w:t>g/day</w:t>
      </w:r>
      <w:r>
        <w:t xml:space="preserve"> (consumers only)</w:t>
      </w:r>
      <w:r w:rsidRPr="00B03EEF">
        <w:t>. High consumers of</w:t>
      </w:r>
      <w:r w:rsidR="00F30226">
        <w:t xml:space="preserve"> electrolyte drinks </w:t>
      </w:r>
      <w:r w:rsidRPr="00B03EEF">
        <w:t>(i.e. at the 90</w:t>
      </w:r>
      <w:r w:rsidRPr="00B03EEF">
        <w:rPr>
          <w:vertAlign w:val="superscript"/>
        </w:rPr>
        <w:t>th</w:t>
      </w:r>
      <w:r w:rsidRPr="00B03EEF">
        <w:t xml:space="preserve"> percentile) consumed </w:t>
      </w:r>
      <w:r>
        <w:t>1524</w:t>
      </w:r>
      <w:r w:rsidRPr="00B03EEF">
        <w:t xml:space="preserve"> g/day. In</w:t>
      </w:r>
      <w:r>
        <w:t xml:space="preserve"> comparison, 54% of the population reported consuming water based beverages at a mean of 591 g/day, and high consumers </w:t>
      </w:r>
      <w:r w:rsidR="00031B61">
        <w:t>at</w:t>
      </w:r>
      <w:r>
        <w:t xml:space="preserve"> 1152 g/day.</w:t>
      </w:r>
    </w:p>
    <w:p w14:paraId="31649996" w14:textId="4913E8F0" w:rsidR="000C044C" w:rsidRDefault="000C044C" w:rsidP="000C044C">
      <w:pPr>
        <w:widowControl/>
        <w:spacing w:before="120" w:after="120"/>
      </w:pPr>
      <w:r>
        <w:lastRenderedPageBreak/>
        <w:t xml:space="preserve">For New Zealand children aged 5-14 years, </w:t>
      </w:r>
      <w:r w:rsidR="00951E04">
        <w:t xml:space="preserve">the </w:t>
      </w:r>
      <w:r>
        <w:t>consumption of</w:t>
      </w:r>
      <w:r w:rsidR="00F30226">
        <w:t xml:space="preserve"> electrolyte drinks </w:t>
      </w:r>
      <w:r w:rsidR="00951E04">
        <w:t xml:space="preserve">was </w:t>
      </w:r>
      <w:r>
        <w:t>355 g/day</w:t>
      </w:r>
      <w:r w:rsidR="00951E04">
        <w:t xml:space="preserve"> at the mean</w:t>
      </w:r>
      <w:r>
        <w:t>. Less than 1% of the population reported consuming</w:t>
      </w:r>
      <w:r w:rsidR="0052629D">
        <w:t xml:space="preserve"> electrolyte drinks.</w:t>
      </w:r>
      <w:r>
        <w:t xml:space="preserve"> Due to the low number of consumers a valid consumption at the 90</w:t>
      </w:r>
      <w:r w:rsidRPr="008C3820">
        <w:rPr>
          <w:vertAlign w:val="superscript"/>
        </w:rPr>
        <w:t>th</w:t>
      </w:r>
      <w:r>
        <w:t xml:space="preserve"> percentile was not able to be derived.</w:t>
      </w:r>
    </w:p>
    <w:p w14:paraId="7B64E189" w14:textId="57AF5DE4" w:rsidR="000F4DDB" w:rsidRDefault="000C044C" w:rsidP="000C044C">
      <w:pPr>
        <w:widowControl/>
        <w:spacing w:before="120" w:after="120"/>
      </w:pPr>
      <w:r>
        <w:t>The brand of</w:t>
      </w:r>
      <w:r w:rsidR="00F30226">
        <w:t xml:space="preserve"> electrolyte drink </w:t>
      </w:r>
      <w:r>
        <w:t xml:space="preserve">was </w:t>
      </w:r>
      <w:r w:rsidR="00031B61">
        <w:t>collected</w:t>
      </w:r>
      <w:r>
        <w:t xml:space="preserve"> in the New Zealand survey, and consumption was captured for the following brands: Powerade</w:t>
      </w:r>
      <w:r w:rsidR="001D15AC" w:rsidRPr="005C6651">
        <w:rPr>
          <w:vertAlign w:val="superscript"/>
        </w:rPr>
        <w:t>TM</w:t>
      </w:r>
      <w:r>
        <w:t>, Horleys Replace</w:t>
      </w:r>
      <w:r w:rsidR="001D15AC" w:rsidRPr="005C6651">
        <w:rPr>
          <w:vertAlign w:val="superscript"/>
        </w:rPr>
        <w:t>TM</w:t>
      </w:r>
      <w:r>
        <w:t>, Lucozade</w:t>
      </w:r>
      <w:r w:rsidR="001D15AC" w:rsidRPr="005C6651">
        <w:rPr>
          <w:vertAlign w:val="superscript"/>
        </w:rPr>
        <w:t>TM</w:t>
      </w:r>
      <w:r>
        <w:t xml:space="preserve"> and the remaining captured under the generic categories: sports drink, from powder, sports drink from liquid concentrate. Powerade</w:t>
      </w:r>
      <w:r w:rsidRPr="005C6651">
        <w:rPr>
          <w:vertAlign w:val="superscript"/>
        </w:rPr>
        <w:t>TM</w:t>
      </w:r>
      <w:r>
        <w:t xml:space="preserve"> was reported as most commonly consumed followed by Lucozade</w:t>
      </w:r>
      <w:r w:rsidRPr="005C6651">
        <w:rPr>
          <w:vertAlign w:val="superscript"/>
        </w:rPr>
        <w:t>TM</w:t>
      </w:r>
      <w:r>
        <w:t xml:space="preserve"> for New Zealanders 15 years and above. Powerade</w:t>
      </w:r>
      <w:r w:rsidRPr="005C6651">
        <w:rPr>
          <w:vertAlign w:val="superscript"/>
        </w:rPr>
        <w:t>TM</w:t>
      </w:r>
      <w:r>
        <w:t xml:space="preserve"> was the only</w:t>
      </w:r>
      <w:r w:rsidR="00F30226">
        <w:t xml:space="preserve"> electrolyte drink </w:t>
      </w:r>
      <w:r>
        <w:t>reported as consumed by New Zealand children 5-14 years.</w:t>
      </w:r>
    </w:p>
    <w:p w14:paraId="2A5C6503" w14:textId="2183F97B" w:rsidR="000F4DDB" w:rsidRPr="00D53297" w:rsidRDefault="000F4DDB" w:rsidP="000F4DDB">
      <w:pPr>
        <w:pStyle w:val="Heading2"/>
      </w:pPr>
      <w:bookmarkStart w:id="80" w:name="_Toc71711621"/>
      <w:bookmarkStart w:id="81" w:name="_Toc72673555"/>
      <w:r w:rsidRPr="00FC4076">
        <w:t>1.</w:t>
      </w:r>
      <w:r>
        <w:t>6</w:t>
      </w:r>
      <w:r w:rsidRPr="00FC4076">
        <w:tab/>
      </w:r>
      <w:r>
        <w:t xml:space="preserve">Electrolyte drink </w:t>
      </w:r>
      <w:r w:rsidR="00D663FE">
        <w:t>consumer research</w:t>
      </w:r>
      <w:bookmarkEnd w:id="80"/>
      <w:bookmarkEnd w:id="81"/>
      <w:r w:rsidR="00D663FE">
        <w:t xml:space="preserve"> </w:t>
      </w:r>
      <w:r w:rsidR="00D663FE" w:rsidRPr="00D53297">
        <w:t xml:space="preserve"> </w:t>
      </w:r>
      <w:r w:rsidR="00D663FE">
        <w:t xml:space="preserve"> </w:t>
      </w:r>
    </w:p>
    <w:p w14:paraId="106A31AE" w14:textId="3C1FEDE6" w:rsidR="000F4DDB" w:rsidRDefault="00D663FE" w:rsidP="000F4DDB">
      <w:pPr>
        <w:widowControl/>
        <w:spacing w:before="120" w:after="120"/>
      </w:pPr>
      <w:r>
        <w:t>In April 2010,</w:t>
      </w:r>
      <w:r w:rsidR="000F4DDB">
        <w:t xml:space="preserve"> </w:t>
      </w:r>
      <w:r>
        <w:t xml:space="preserve">Colmar Brunton was commissioned by FSANZ to undertake research </w:t>
      </w:r>
      <w:r w:rsidR="003C13E1">
        <w:t xml:space="preserve">into </w:t>
      </w:r>
      <w:r w:rsidR="000F4DDB">
        <w:t xml:space="preserve">the use of </w:t>
      </w:r>
      <w:r w:rsidR="003C13E1">
        <w:t>FSSFs</w:t>
      </w:r>
      <w:r w:rsidR="009C6C06">
        <w:rPr>
          <w:rStyle w:val="FootnoteReference"/>
        </w:rPr>
        <w:footnoteReference w:id="9"/>
      </w:r>
      <w:r w:rsidR="000F4DDB">
        <w:t xml:space="preserve">. The objective of this </w:t>
      </w:r>
      <w:r>
        <w:t xml:space="preserve">qualitative </w:t>
      </w:r>
      <w:r w:rsidR="000F4DDB">
        <w:t xml:space="preserve">research was to investigate consumers’ cognitive and behavioural approaches to purchasing and consuming these products. </w:t>
      </w:r>
    </w:p>
    <w:p w14:paraId="5500AB96" w14:textId="6503F5AF" w:rsidR="000F4DDB" w:rsidRDefault="003C13E1" w:rsidP="000F4DDB">
      <w:pPr>
        <w:widowControl/>
        <w:spacing w:before="120" w:after="120"/>
      </w:pPr>
      <w:r>
        <w:t>D</w:t>
      </w:r>
      <w:r w:rsidR="000F4DDB">
        <w:t>ata</w:t>
      </w:r>
      <w:r>
        <w:t xml:space="preserve"> was collected</w:t>
      </w:r>
      <w:r w:rsidR="000F4DDB">
        <w:t xml:space="preserve"> from ten focus groups undertaken in Australia and New Zealand </w:t>
      </w:r>
      <w:r>
        <w:t xml:space="preserve">between May and June </w:t>
      </w:r>
      <w:r w:rsidR="000F4DDB">
        <w:t>2010. Two focus groups comprised parents of children under 15</w:t>
      </w:r>
      <w:r w:rsidR="009C6C06">
        <w:t xml:space="preserve"> years of age</w:t>
      </w:r>
      <w:r w:rsidR="000F4DDB">
        <w:t xml:space="preserve"> who consumed sports drinks, and four focus groups were with adult consumers of sports drinks. The remaining four focus groups were with adult consumers of sports foods. The adult consumers were stratified across consumption frequency and whether consumption was related to physical activity or not. </w:t>
      </w:r>
    </w:p>
    <w:p w14:paraId="15C38F5B" w14:textId="77777777" w:rsidR="000F4DDB" w:rsidRDefault="000F4DDB" w:rsidP="000F4DDB">
      <w:pPr>
        <w:widowControl/>
        <w:spacing w:before="120" w:after="120"/>
      </w:pPr>
      <w:r>
        <w:t>The focus groups followed a standardised approach covering the following topics:</w:t>
      </w:r>
    </w:p>
    <w:p w14:paraId="0A5F6530" w14:textId="77777777" w:rsidR="000F4DDB" w:rsidRDefault="000F4DDB" w:rsidP="000F4DDB">
      <w:pPr>
        <w:pStyle w:val="ListParagraph"/>
        <w:numPr>
          <w:ilvl w:val="0"/>
          <w:numId w:val="5"/>
        </w:numPr>
        <w:spacing w:before="120" w:after="120"/>
        <w:ind w:left="567" w:hanging="567"/>
        <w:contextualSpacing w:val="0"/>
        <w:rPr>
          <w:rFonts w:eastAsia="Times New Roman" w:cs="Times New Roman"/>
          <w:szCs w:val="24"/>
          <w:lang w:bidi="en-US"/>
        </w:rPr>
      </w:pPr>
      <w:r>
        <w:rPr>
          <w:rFonts w:eastAsia="Times New Roman" w:cs="Times New Roman"/>
          <w:szCs w:val="24"/>
          <w:lang w:bidi="en-US"/>
        </w:rPr>
        <w:t>knowledge and awareness</w:t>
      </w:r>
    </w:p>
    <w:p w14:paraId="08B98EB9" w14:textId="77777777" w:rsidR="000F4DDB" w:rsidRDefault="000F4DDB" w:rsidP="000F4DDB">
      <w:pPr>
        <w:pStyle w:val="ListParagraph"/>
        <w:numPr>
          <w:ilvl w:val="0"/>
          <w:numId w:val="5"/>
        </w:numPr>
        <w:spacing w:before="120" w:after="120"/>
        <w:ind w:left="567" w:hanging="567"/>
        <w:contextualSpacing w:val="0"/>
        <w:rPr>
          <w:rFonts w:eastAsia="Times New Roman" w:cs="Times New Roman"/>
          <w:szCs w:val="24"/>
          <w:lang w:bidi="en-US"/>
        </w:rPr>
      </w:pPr>
      <w:r>
        <w:rPr>
          <w:rFonts w:eastAsia="Times New Roman" w:cs="Times New Roman"/>
          <w:szCs w:val="24"/>
          <w:lang w:bidi="en-US"/>
        </w:rPr>
        <w:t>perceptions and attitudes</w:t>
      </w:r>
    </w:p>
    <w:p w14:paraId="51A51018" w14:textId="77777777" w:rsidR="000F4DDB" w:rsidRDefault="000F4DDB" w:rsidP="000F4DDB">
      <w:pPr>
        <w:pStyle w:val="ListParagraph"/>
        <w:numPr>
          <w:ilvl w:val="0"/>
          <w:numId w:val="5"/>
        </w:numPr>
        <w:spacing w:before="120" w:after="120"/>
        <w:ind w:left="567" w:hanging="567"/>
        <w:contextualSpacing w:val="0"/>
        <w:rPr>
          <w:rFonts w:eastAsia="Times New Roman" w:cs="Times New Roman"/>
          <w:szCs w:val="24"/>
          <w:lang w:bidi="en-US"/>
        </w:rPr>
      </w:pPr>
      <w:r>
        <w:rPr>
          <w:rFonts w:eastAsia="Times New Roman" w:cs="Times New Roman"/>
          <w:szCs w:val="24"/>
          <w:lang w:bidi="en-US"/>
        </w:rPr>
        <w:t>purchase and consumption behaviours.</w:t>
      </w:r>
    </w:p>
    <w:p w14:paraId="4A2BE5B4" w14:textId="77777777" w:rsidR="000F4DDB" w:rsidRDefault="000F4DDB" w:rsidP="000F4DDB">
      <w:pPr>
        <w:widowControl/>
        <w:spacing w:before="120" w:after="120"/>
      </w:pPr>
      <w:r>
        <w:t xml:space="preserve">Research participants in Australia and New Zealand had discrete definitions of what a ‘sports drink’ was, and this was generally consistent with what an electrolyte drink is. Consumers generally differentiated sports drinks from energy drinks (formulated caffeinated beverages) and vitamins waters (formulated beverages). Brands recognised as sports drinks included Powerade, Gatorade, Staminade, Lucozade and, in New Zealand, Mizone. </w:t>
      </w:r>
    </w:p>
    <w:p w14:paraId="11181551" w14:textId="77777777" w:rsidR="000F4DDB" w:rsidRDefault="000F4DDB" w:rsidP="000F4DDB">
      <w:pPr>
        <w:widowControl/>
        <w:spacing w:before="120" w:after="120"/>
      </w:pPr>
      <w:r>
        <w:t>Research participants were very aware of electrolyte drinks through marketing and prominent displays at many types of retail outlet. There was a feeling that the products were ubiquitous and stood out from other products due to their brightly coloured liquids and packaging.</w:t>
      </w:r>
    </w:p>
    <w:p w14:paraId="63F67F9E" w14:textId="673C312F" w:rsidR="000F4DDB" w:rsidRDefault="005E0DA3" w:rsidP="000F4DDB">
      <w:pPr>
        <w:widowControl/>
        <w:spacing w:before="120" w:after="120"/>
      </w:pPr>
      <w:r>
        <w:t>This research</w:t>
      </w:r>
      <w:r w:rsidR="000F4DDB">
        <w:t xml:space="preserve"> found that adults, both sedentary and exercising adults, and children report consuming </w:t>
      </w:r>
      <w:r w:rsidR="00F624D8">
        <w:t>electrolyte drinks</w:t>
      </w:r>
      <w:r w:rsidR="000F4DDB">
        <w:t xml:space="preserve">. Consumption of electrolyte drinks by children was reportedly driven by both parents and children, with evidence suggesting that parents and children perceived electrolyte drinks to be suitable and beneficial based on the recommendations of sports coaches and/or marketing and promotions by elite athletes. There was some agreement among parents of children who </w:t>
      </w:r>
      <w:r w:rsidR="000F4DDB">
        <w:lastRenderedPageBreak/>
        <w:t xml:space="preserve">consume electrolyte drinks that marketing targets young children through to late teens. </w:t>
      </w:r>
    </w:p>
    <w:p w14:paraId="028ABD46" w14:textId="7621B060" w:rsidR="000F4DDB" w:rsidRDefault="00F624D8" w:rsidP="000F4DDB">
      <w:pPr>
        <w:widowControl/>
        <w:spacing w:before="120" w:after="120"/>
      </w:pPr>
      <w:r>
        <w:t xml:space="preserve">Electrolyte drink </w:t>
      </w:r>
      <w:r w:rsidR="000F4DDB">
        <w:t>consumption was driven by a range of exercise, non-exercise and hydration related reasons, including sports performance and recovery, avoidance of muscle cramps, playing outside in the heat, taste and as a soft drink substitute. There were differences between those considered ‘active’ or ‘sedentary’ based on reported level of physical activity. Active participants reported they primarily consumed electrolyte drinks for intense and moderate exercise or recreational activities and reported that health benefits exist only during or immediately after exercise. Active participants generally agreed that electrolyte drinks were for physical activity and therefore should not be consumed by sedentary people. However, some active participants did report consuming electrolyte drinks when ‘on the run’, thirsty, out in the sun or needing energy because they were feeling flat or lethargic.</w:t>
      </w:r>
    </w:p>
    <w:p w14:paraId="1F8BD6FC" w14:textId="77777777" w:rsidR="000F4DDB" w:rsidRDefault="000F4DDB" w:rsidP="000F4DDB">
      <w:pPr>
        <w:widowControl/>
        <w:spacing w:before="120" w:after="120"/>
      </w:pPr>
      <w:r>
        <w:t>In both Australia and New Zealand, sedentary participants did not believe that electrolyte drinks should be confined to sporting activities; seeing electrolyte drinks as a way to hydrate and deliver extra energy. Although the reasons for consumption may have originally been exercise related, some continued consumption was subsequently related to taste, energy, stamina (e.g. for an exam) and quenching thirst. There was also some evidence that some consumers saw electrolyte drinks as an alternative to soft drinks when purchasing for thirst related reasons as they viewed electrolyte drinks to be healthier than soft drinks. Further, participants in both countries felt that electrolyte drink marketing was aimed towards the general public. Similar to the views of parents, the adult focus group participants also reported that athletic endorsement can enhance credibility and a belief of efficacy for electrolyte drinks.</w:t>
      </w:r>
    </w:p>
    <w:p w14:paraId="52C35000" w14:textId="0B37C39A" w:rsidR="000F4DDB" w:rsidRDefault="000F4DDB" w:rsidP="000F4DDB">
      <w:pPr>
        <w:widowControl/>
        <w:spacing w:before="120" w:after="120"/>
      </w:pPr>
      <w:r>
        <w:t xml:space="preserve">The </w:t>
      </w:r>
      <w:r w:rsidR="005E0DA3">
        <w:t>commissioned</w:t>
      </w:r>
      <w:r>
        <w:t xml:space="preserve"> research provides evidence that: </w:t>
      </w:r>
    </w:p>
    <w:p w14:paraId="29E0E14D" w14:textId="77777777" w:rsidR="000F4DDB" w:rsidRDefault="000F4DDB" w:rsidP="000F4DDB">
      <w:pPr>
        <w:pStyle w:val="ListParagraph"/>
        <w:numPr>
          <w:ilvl w:val="0"/>
          <w:numId w:val="6"/>
        </w:numPr>
        <w:spacing w:before="120" w:after="120"/>
        <w:ind w:left="567" w:hanging="567"/>
        <w:contextualSpacing w:val="0"/>
        <w:rPr>
          <w:rFonts w:eastAsia="Times New Roman" w:cs="Times New Roman"/>
          <w:szCs w:val="24"/>
          <w:lang w:bidi="en-US"/>
        </w:rPr>
      </w:pPr>
      <w:r>
        <w:rPr>
          <w:rFonts w:eastAsia="Times New Roman" w:cs="Times New Roman"/>
          <w:szCs w:val="24"/>
          <w:lang w:bidi="en-US"/>
        </w:rPr>
        <w:t>‘Non-target’ consumers are consuming electrolyte drinks, including children and sedentary adults</w:t>
      </w:r>
    </w:p>
    <w:p w14:paraId="332FFD86" w14:textId="77777777" w:rsidR="000F4DDB" w:rsidRDefault="000F4DDB" w:rsidP="000F4DDB">
      <w:pPr>
        <w:pStyle w:val="ListParagraph"/>
        <w:numPr>
          <w:ilvl w:val="0"/>
          <w:numId w:val="6"/>
        </w:numPr>
        <w:spacing w:before="120" w:after="120"/>
        <w:ind w:left="567" w:hanging="567"/>
        <w:contextualSpacing w:val="0"/>
        <w:rPr>
          <w:rFonts w:eastAsia="Times New Roman" w:cs="Times New Roman"/>
          <w:szCs w:val="24"/>
          <w:lang w:bidi="en-US"/>
        </w:rPr>
      </w:pPr>
      <w:r>
        <w:rPr>
          <w:rFonts w:eastAsia="Times New Roman" w:cs="Times New Roman"/>
          <w:szCs w:val="24"/>
          <w:lang w:bidi="en-US"/>
        </w:rPr>
        <w:t>Some consumers report to use electrolyte drinks for the rapid replacement of fluid, carbohydrates, electrolytes and minerals</w:t>
      </w:r>
    </w:p>
    <w:p w14:paraId="531DBA25" w14:textId="77777777" w:rsidR="000F4DDB" w:rsidRDefault="000F4DDB" w:rsidP="000F4DDB">
      <w:pPr>
        <w:pStyle w:val="ListParagraph"/>
        <w:numPr>
          <w:ilvl w:val="0"/>
          <w:numId w:val="6"/>
        </w:numPr>
        <w:spacing w:before="120" w:after="120"/>
        <w:ind w:left="567" w:hanging="567"/>
        <w:contextualSpacing w:val="0"/>
        <w:rPr>
          <w:rFonts w:eastAsia="Times New Roman" w:cs="Times New Roman"/>
          <w:szCs w:val="24"/>
          <w:lang w:bidi="en-US"/>
        </w:rPr>
      </w:pPr>
      <w:r>
        <w:rPr>
          <w:rFonts w:eastAsia="Times New Roman" w:cs="Times New Roman"/>
          <w:szCs w:val="24"/>
          <w:lang w:bidi="en-US"/>
        </w:rPr>
        <w:t>Some adults and children are reportedly consuming electrolyte drinks for reasons not related to exercise, including for taste and as a sugar-sweetened beverage substitute</w:t>
      </w:r>
    </w:p>
    <w:p w14:paraId="367B0DAF" w14:textId="75579128" w:rsidR="000F4DDB" w:rsidRDefault="000F4DDB" w:rsidP="000F4DDB">
      <w:pPr>
        <w:pStyle w:val="ListParagraph"/>
        <w:numPr>
          <w:ilvl w:val="0"/>
          <w:numId w:val="6"/>
        </w:numPr>
        <w:spacing w:before="120" w:after="120"/>
        <w:ind w:left="567" w:hanging="567"/>
        <w:contextualSpacing w:val="0"/>
        <w:rPr>
          <w:rFonts w:eastAsia="Times New Roman" w:cs="Times New Roman"/>
          <w:szCs w:val="24"/>
          <w:lang w:bidi="en-US"/>
        </w:rPr>
      </w:pPr>
      <w:r>
        <w:rPr>
          <w:rFonts w:eastAsia="Times New Roman" w:cs="Times New Roman"/>
          <w:szCs w:val="24"/>
          <w:lang w:bidi="en-US"/>
        </w:rPr>
        <w:t xml:space="preserve">Athletic endorsement/marketing and sporting coach recommendations are seen to create a belief of electrolyte drink efficacy and suitability – in both children and adults </w:t>
      </w:r>
    </w:p>
    <w:p w14:paraId="1F80222E" w14:textId="3E567D11" w:rsidR="000F4DDB" w:rsidRDefault="000F4DDB" w:rsidP="000F4DDB">
      <w:pPr>
        <w:pStyle w:val="ListParagraph"/>
        <w:numPr>
          <w:ilvl w:val="0"/>
          <w:numId w:val="6"/>
        </w:numPr>
        <w:spacing w:before="120" w:after="120"/>
        <w:ind w:left="567" w:hanging="567"/>
        <w:contextualSpacing w:val="0"/>
      </w:pPr>
      <w:r>
        <w:rPr>
          <w:rFonts w:eastAsia="Times New Roman" w:cs="Times New Roman"/>
          <w:szCs w:val="24"/>
          <w:lang w:bidi="en-US"/>
        </w:rPr>
        <w:t xml:space="preserve">Some consumers see electrolyte drinks as an alternative to soft drinks when purchasing for thirst or lethargy related reasons as they view electrolyte drinks to be healthier than soft drinks. </w:t>
      </w:r>
    </w:p>
    <w:p w14:paraId="075C5D46" w14:textId="4AFD920C" w:rsidR="00031B61" w:rsidRPr="00D53297" w:rsidRDefault="00031B61" w:rsidP="00031B61">
      <w:pPr>
        <w:pStyle w:val="Heading2"/>
      </w:pPr>
      <w:bookmarkStart w:id="82" w:name="_Toc60824991"/>
      <w:bookmarkStart w:id="83" w:name="_Toc61442298"/>
      <w:bookmarkStart w:id="84" w:name="_Toc61449842"/>
      <w:bookmarkStart w:id="85" w:name="_Toc63342486"/>
      <w:bookmarkStart w:id="86" w:name="_Toc71711622"/>
      <w:bookmarkStart w:id="87" w:name="_Toc72673556"/>
      <w:r w:rsidRPr="00FC4076">
        <w:t>1.</w:t>
      </w:r>
      <w:r w:rsidR="000F4DDB">
        <w:t>7</w:t>
      </w:r>
      <w:r w:rsidRPr="00FC4076">
        <w:tab/>
      </w:r>
      <w:r w:rsidR="005133FF">
        <w:t>Electrolyte drink m</w:t>
      </w:r>
      <w:r>
        <w:t>arket</w:t>
      </w:r>
      <w:bookmarkEnd w:id="82"/>
      <w:bookmarkEnd w:id="83"/>
      <w:bookmarkEnd w:id="84"/>
      <w:bookmarkEnd w:id="85"/>
      <w:bookmarkEnd w:id="86"/>
      <w:bookmarkEnd w:id="87"/>
      <w:r w:rsidRPr="00D53297">
        <w:t xml:space="preserve"> </w:t>
      </w:r>
      <w:r>
        <w:t xml:space="preserve"> </w:t>
      </w:r>
    </w:p>
    <w:p w14:paraId="2FC91B4F" w14:textId="5060E2EF" w:rsidR="00D53297" w:rsidRPr="00303F27" w:rsidRDefault="00031B61" w:rsidP="003F759E">
      <w:pPr>
        <w:pStyle w:val="Heading3"/>
      </w:pPr>
      <w:bookmarkStart w:id="88" w:name="_Toc60824992"/>
      <w:bookmarkStart w:id="89" w:name="_Toc61442299"/>
      <w:bookmarkStart w:id="90" w:name="_Toc61449843"/>
      <w:bookmarkStart w:id="91" w:name="_Toc63342487"/>
      <w:bookmarkStart w:id="92" w:name="_Toc71711623"/>
      <w:bookmarkStart w:id="93" w:name="_Toc72673557"/>
      <w:r>
        <w:t>1.</w:t>
      </w:r>
      <w:r w:rsidR="000F4DDB">
        <w:t>7</w:t>
      </w:r>
      <w:r>
        <w:t>.1</w:t>
      </w:r>
      <w:r>
        <w:tab/>
      </w:r>
      <w:r w:rsidR="003F759E">
        <w:t>Australia</w:t>
      </w:r>
      <w:bookmarkEnd w:id="88"/>
      <w:bookmarkEnd w:id="89"/>
      <w:bookmarkEnd w:id="90"/>
      <w:bookmarkEnd w:id="91"/>
      <w:bookmarkEnd w:id="92"/>
      <w:bookmarkEnd w:id="93"/>
      <w:r w:rsidR="00D53297" w:rsidRPr="00303F27">
        <w:t xml:space="preserve"> </w:t>
      </w:r>
    </w:p>
    <w:p w14:paraId="635709EE" w14:textId="3B689DCC" w:rsidR="0029100B" w:rsidRDefault="00D53297" w:rsidP="00424BD1">
      <w:pPr>
        <w:widowControl/>
        <w:spacing w:before="120" w:after="120"/>
      </w:pPr>
      <w:r>
        <w:t>Market share data were provided by/sourced from the food industry. These data indicate that</w:t>
      </w:r>
      <w:r w:rsidR="00F30226">
        <w:t xml:space="preserve"> electrolyte drinks </w:t>
      </w:r>
      <w:r>
        <w:t xml:space="preserve">accounted for 3% total soft drink market share in 2019. Sales analysis indicate a 4% increase in </w:t>
      </w:r>
      <w:r w:rsidR="0071026B">
        <w:t>o</w:t>
      </w:r>
      <w:r>
        <w:t xml:space="preserve">ff-trade sales in 2017. </w:t>
      </w:r>
    </w:p>
    <w:p w14:paraId="51297379" w14:textId="377A7519" w:rsidR="00D53297" w:rsidRDefault="00F769CC" w:rsidP="00424BD1">
      <w:pPr>
        <w:widowControl/>
        <w:spacing w:before="120" w:after="120"/>
      </w:pPr>
      <w:r>
        <w:t xml:space="preserve">The </w:t>
      </w:r>
      <w:r w:rsidR="00D53297">
        <w:t xml:space="preserve">Coca-Cola </w:t>
      </w:r>
      <w:r>
        <w:t xml:space="preserve">Company’s </w:t>
      </w:r>
      <w:r w:rsidR="00D53297">
        <w:t>product Powerade</w:t>
      </w:r>
      <w:r w:rsidR="001D15AC" w:rsidRPr="005C6651">
        <w:rPr>
          <w:vertAlign w:val="superscript"/>
        </w:rPr>
        <w:t>TM</w:t>
      </w:r>
      <w:r w:rsidR="00D53297">
        <w:t xml:space="preserve"> and PepsiCo’s product Gatorade</w:t>
      </w:r>
      <w:r w:rsidR="001D15AC" w:rsidRPr="005C6651">
        <w:rPr>
          <w:vertAlign w:val="superscript"/>
        </w:rPr>
        <w:t>TM</w:t>
      </w:r>
      <w:r w:rsidR="00D53297">
        <w:t xml:space="preserve"> hold the majority of the</w:t>
      </w:r>
      <w:r w:rsidR="00F30226">
        <w:t xml:space="preserve"> electrolyte drink </w:t>
      </w:r>
      <w:r w:rsidR="00D53297">
        <w:t xml:space="preserve">market, collectively accounting for </w:t>
      </w:r>
      <w:r w:rsidR="00D53297">
        <w:lastRenderedPageBreak/>
        <w:t xml:space="preserve">83.5% (Global Data, 2020). Further to this, Coca-Cola Amatil continues to dominate the category with a 52% share of </w:t>
      </w:r>
      <w:r w:rsidR="0071026B">
        <w:t>o</w:t>
      </w:r>
      <w:r w:rsidR="00D53297">
        <w:t>ff-trade value sales (Euromonitor, 2018).</w:t>
      </w:r>
    </w:p>
    <w:p w14:paraId="5B6018A6" w14:textId="419A80E6" w:rsidR="00D53297" w:rsidRDefault="00D53297" w:rsidP="00424BD1">
      <w:pPr>
        <w:widowControl/>
        <w:spacing w:before="120" w:after="120"/>
        <w:rPr>
          <w:rFonts w:cs="Arial"/>
          <w:iCs/>
        </w:rPr>
      </w:pPr>
      <w:r>
        <w:t>Since 2011, when the nutrition survey data were collected, there has been a 30% increase in the volume of</w:t>
      </w:r>
      <w:r w:rsidR="00F30226">
        <w:t xml:space="preserve"> electrolyte drinks </w:t>
      </w:r>
      <w:r>
        <w:t xml:space="preserve">sold. This </w:t>
      </w:r>
      <w:r w:rsidR="0029100B">
        <w:t xml:space="preserve">more likely </w:t>
      </w:r>
      <w:r>
        <w:t xml:space="preserve">indicates </w:t>
      </w:r>
      <w:r w:rsidR="0029100B">
        <w:t>an increase in the</w:t>
      </w:r>
      <w:r>
        <w:t xml:space="preserve"> proportion of consumers </w:t>
      </w:r>
      <w:r w:rsidR="00187A2D">
        <w:t>rather than an increase in consumers’ daily consumption</w:t>
      </w:r>
      <w:r>
        <w:rPr>
          <w:rFonts w:cs="Arial"/>
          <w:iCs/>
        </w:rPr>
        <w:t>. However, there is uncertainty associated with this assumption given the absence of recent survey data for the population.</w:t>
      </w:r>
    </w:p>
    <w:p w14:paraId="7AD7791A" w14:textId="6FEB1FB0" w:rsidR="00D53297" w:rsidRDefault="00D53297" w:rsidP="00424BD1">
      <w:pPr>
        <w:widowControl/>
        <w:spacing w:before="120" w:after="120"/>
      </w:pPr>
      <w:r>
        <w:t xml:space="preserve">Industry data </w:t>
      </w:r>
      <w:r w:rsidR="00C34B09">
        <w:t>for Australia (</w:t>
      </w:r>
      <w:r w:rsidR="0019347E">
        <w:t xml:space="preserve">iRi, 2020) </w:t>
      </w:r>
      <w:r>
        <w:t xml:space="preserve">from the Australian Beverages Council Ltd indicates that the total retail litres scan of sports drinks increased by 3% </w:t>
      </w:r>
      <w:r w:rsidR="00A11473">
        <w:t xml:space="preserve">from </w:t>
      </w:r>
      <w:r>
        <w:t>2018 to</w:t>
      </w:r>
      <w:r w:rsidR="0013044F">
        <w:t xml:space="preserve"> </w:t>
      </w:r>
      <w:r>
        <w:t>2020</w:t>
      </w:r>
      <w:r w:rsidR="00A477EA">
        <w:t xml:space="preserve"> w</w:t>
      </w:r>
      <w:r>
        <w:t>ith total Powerade</w:t>
      </w:r>
      <w:r w:rsidR="00A477EA" w:rsidRPr="000C044C">
        <w:rPr>
          <w:vertAlign w:val="superscript"/>
        </w:rPr>
        <w:t>TM</w:t>
      </w:r>
      <w:r>
        <w:t xml:space="preserve"> </w:t>
      </w:r>
      <w:r w:rsidR="003F759E">
        <w:t xml:space="preserve">sports drinks </w:t>
      </w:r>
      <w:r>
        <w:t xml:space="preserve">accounting for 49.7% of total retail litre </w:t>
      </w:r>
      <w:r w:rsidR="00A477EA">
        <w:t xml:space="preserve">shares </w:t>
      </w:r>
      <w:r>
        <w:t xml:space="preserve">in 2020. </w:t>
      </w:r>
      <w:r w:rsidR="008E61CB">
        <w:t xml:space="preserve"> </w:t>
      </w:r>
    </w:p>
    <w:p w14:paraId="56214FFF" w14:textId="2A2B9A73" w:rsidR="00D53297" w:rsidRDefault="00D53297" w:rsidP="00F02BA0">
      <w:pPr>
        <w:widowControl/>
        <w:spacing w:before="120" w:after="120"/>
      </w:pPr>
      <w:r>
        <w:t>In 2020</w:t>
      </w:r>
      <w:r w:rsidR="00CF3C9B">
        <w:t>,</w:t>
      </w:r>
      <w:r>
        <w:t xml:space="preserve"> sports drinks accounted for $266,218,000 of the total retail dollars scan, of which total Powerade</w:t>
      </w:r>
      <w:r w:rsidR="00A477EA" w:rsidRPr="000C044C">
        <w:rPr>
          <w:vertAlign w:val="superscript"/>
        </w:rPr>
        <w:t>TM</w:t>
      </w:r>
      <w:r>
        <w:t xml:space="preserve"> </w:t>
      </w:r>
      <w:r w:rsidR="003F759E">
        <w:t xml:space="preserve">sports drinks </w:t>
      </w:r>
      <w:r>
        <w:t xml:space="preserve">contributed 53.8%, total </w:t>
      </w:r>
      <w:r w:rsidR="00A477EA">
        <w:t>Gatorade</w:t>
      </w:r>
      <w:r w:rsidR="00A477EA" w:rsidRPr="000C044C">
        <w:rPr>
          <w:vertAlign w:val="superscript"/>
        </w:rPr>
        <w:t>TM</w:t>
      </w:r>
      <w:r w:rsidR="00A477EA">
        <w:t xml:space="preserve"> </w:t>
      </w:r>
      <w:r w:rsidR="003F759E">
        <w:t xml:space="preserve">sports drinks </w:t>
      </w:r>
      <w:r>
        <w:t>contributed 30.6% and total Maximus</w:t>
      </w:r>
      <w:r w:rsidR="00A477EA" w:rsidRPr="003F759E">
        <w:rPr>
          <w:vertAlign w:val="superscript"/>
        </w:rPr>
        <w:t>TM</w:t>
      </w:r>
      <w:r>
        <w:t xml:space="preserve"> </w:t>
      </w:r>
      <w:r w:rsidR="003F759E">
        <w:t xml:space="preserve">sports </w:t>
      </w:r>
      <w:r>
        <w:t xml:space="preserve">drinks contributed 13.0%. With the </w:t>
      </w:r>
      <w:r w:rsidR="00A477EA">
        <w:t xml:space="preserve">addition </w:t>
      </w:r>
      <w:r w:rsidR="00C34B09">
        <w:t xml:space="preserve">to total retail </w:t>
      </w:r>
      <w:r>
        <w:t xml:space="preserve">of </w:t>
      </w:r>
      <w:r w:rsidR="00A477EA">
        <w:t xml:space="preserve">sports drinks </w:t>
      </w:r>
      <w:r>
        <w:t xml:space="preserve">purchased from or sold for use in bakeries, news agents, food outlets </w:t>
      </w:r>
      <w:r w:rsidR="0071026B">
        <w:t>etc.</w:t>
      </w:r>
      <w:r>
        <w:t xml:space="preserve">, </w:t>
      </w:r>
      <w:r w:rsidR="00A477EA">
        <w:t xml:space="preserve">the </w:t>
      </w:r>
      <w:r>
        <w:t xml:space="preserve">2020 sports drinks </w:t>
      </w:r>
      <w:r w:rsidR="00A477EA">
        <w:t xml:space="preserve">market </w:t>
      </w:r>
      <w:r>
        <w:t>accounted for 104,270,000 L and $359,359</w:t>
      </w:r>
      <w:r w:rsidR="00C34B09">
        <w:t>,</w:t>
      </w:r>
      <w:r>
        <w:t>000</w:t>
      </w:r>
      <w:r w:rsidR="0019347E">
        <w:t xml:space="preserve"> (iRi, 2020)</w:t>
      </w:r>
      <w:r>
        <w:t xml:space="preserve">. </w:t>
      </w:r>
    </w:p>
    <w:p w14:paraId="3B043FCB" w14:textId="379EE4EB" w:rsidR="00D53297" w:rsidRPr="00D45F7A" w:rsidRDefault="00D53297" w:rsidP="00BC392A">
      <w:r>
        <w:t>The above market share data defines ‘sports drinks’ as ‘</w:t>
      </w:r>
      <w:r w:rsidRPr="00D45F7A">
        <w:t>beverages that are sold within a particular area of the supermarket or retail store</w:t>
      </w:r>
      <w:r w:rsidR="00A23F25">
        <w:t>’</w:t>
      </w:r>
      <w:r w:rsidRPr="00D45F7A">
        <w:t xml:space="preserve">. </w:t>
      </w:r>
      <w:r w:rsidR="00BC392A" w:rsidRPr="005C7EC0">
        <w:t xml:space="preserve">Examples of products that are included within this category </w:t>
      </w:r>
      <w:r w:rsidR="00BC392A" w:rsidRPr="001513ED">
        <w:t xml:space="preserve">and in the data provided </w:t>
      </w:r>
      <w:r w:rsidR="00BC392A">
        <w:t xml:space="preserve">include </w:t>
      </w:r>
      <w:r w:rsidR="00BC392A" w:rsidRPr="005C7EC0">
        <w:t>Powerade Isotonic ION4</w:t>
      </w:r>
      <w:r w:rsidR="001D15AC" w:rsidRPr="005C6651">
        <w:rPr>
          <w:vertAlign w:val="superscript"/>
        </w:rPr>
        <w:t>TM</w:t>
      </w:r>
      <w:r w:rsidR="00BC392A">
        <w:t xml:space="preserve">, </w:t>
      </w:r>
      <w:r w:rsidR="00BC392A" w:rsidRPr="005C7EC0">
        <w:t>Powerade Zero</w:t>
      </w:r>
      <w:r w:rsidR="001D15AC" w:rsidRPr="005C6651">
        <w:rPr>
          <w:vertAlign w:val="superscript"/>
        </w:rPr>
        <w:t>TM</w:t>
      </w:r>
      <w:r w:rsidR="00BC392A">
        <w:t xml:space="preserve">, </w:t>
      </w:r>
      <w:r w:rsidR="00BC392A" w:rsidRPr="005C7EC0">
        <w:t>Powerade</w:t>
      </w:r>
      <w:r w:rsidR="001D15AC" w:rsidRPr="005C6651">
        <w:rPr>
          <w:vertAlign w:val="superscript"/>
        </w:rPr>
        <w:t>TM</w:t>
      </w:r>
      <w:r w:rsidR="00BC392A" w:rsidRPr="005C7EC0">
        <w:t xml:space="preserve"> powders</w:t>
      </w:r>
      <w:r w:rsidR="00BC392A">
        <w:t xml:space="preserve">, </w:t>
      </w:r>
      <w:r w:rsidR="00BC392A" w:rsidRPr="005C7EC0">
        <w:t>Gatorade</w:t>
      </w:r>
      <w:r w:rsidR="001D15AC" w:rsidRPr="005C6651">
        <w:rPr>
          <w:vertAlign w:val="superscript"/>
        </w:rPr>
        <w:t>TM</w:t>
      </w:r>
      <w:r w:rsidR="00BC392A">
        <w:t xml:space="preserve">, </w:t>
      </w:r>
      <w:r w:rsidR="00BC392A" w:rsidRPr="005C7EC0">
        <w:t>Gatorade</w:t>
      </w:r>
      <w:r w:rsidR="001D15AC" w:rsidRPr="005C6651">
        <w:rPr>
          <w:vertAlign w:val="superscript"/>
        </w:rPr>
        <w:t>TM</w:t>
      </w:r>
      <w:r w:rsidR="00BC392A" w:rsidRPr="005C7EC0">
        <w:t xml:space="preserve"> powder</w:t>
      </w:r>
      <w:r w:rsidR="00BC392A">
        <w:t xml:space="preserve">, </w:t>
      </w:r>
      <w:r w:rsidR="00BC392A" w:rsidRPr="005C7EC0">
        <w:t>G</w:t>
      </w:r>
      <w:r w:rsidR="00BC392A" w:rsidRPr="001513ED">
        <w:t>atorade</w:t>
      </w:r>
      <w:r w:rsidR="001D15AC" w:rsidRPr="005C6651">
        <w:rPr>
          <w:vertAlign w:val="superscript"/>
        </w:rPr>
        <w:t>TM</w:t>
      </w:r>
      <w:r w:rsidR="00BC392A" w:rsidRPr="001513ED">
        <w:t xml:space="preserve"> enhanced formula powder</w:t>
      </w:r>
      <w:r w:rsidR="00BC392A">
        <w:t xml:space="preserve">, </w:t>
      </w:r>
      <w:r w:rsidR="00BC392A" w:rsidRPr="005C7EC0">
        <w:t>Gatorade Fierce</w:t>
      </w:r>
      <w:r w:rsidR="001D15AC" w:rsidRPr="005C6651">
        <w:rPr>
          <w:vertAlign w:val="superscript"/>
        </w:rPr>
        <w:t>TM</w:t>
      </w:r>
      <w:r w:rsidR="00BC392A">
        <w:t xml:space="preserve">, </w:t>
      </w:r>
      <w:r w:rsidR="00BC392A" w:rsidRPr="005C7EC0">
        <w:t>Maximus</w:t>
      </w:r>
      <w:r w:rsidR="001D15AC" w:rsidRPr="005C6651">
        <w:rPr>
          <w:vertAlign w:val="superscript"/>
        </w:rPr>
        <w:t>TM</w:t>
      </w:r>
      <w:r w:rsidR="00BC392A">
        <w:t xml:space="preserve"> and </w:t>
      </w:r>
      <w:r w:rsidR="00BC392A" w:rsidRPr="005C7EC0">
        <w:t>Mizone Sport</w:t>
      </w:r>
      <w:r w:rsidR="001D15AC" w:rsidRPr="005C6651">
        <w:rPr>
          <w:vertAlign w:val="superscript"/>
        </w:rPr>
        <w:t>TM</w:t>
      </w:r>
      <w:r w:rsidR="00BC392A">
        <w:t>. This excludes products such as G-Active</w:t>
      </w:r>
      <w:r w:rsidR="001D15AC" w:rsidRPr="005C6651">
        <w:rPr>
          <w:vertAlign w:val="superscript"/>
        </w:rPr>
        <w:t>TM</w:t>
      </w:r>
      <w:r w:rsidR="00BC392A">
        <w:t xml:space="preserve"> and other enhanced/functional waters as they </w:t>
      </w:r>
      <w:r w:rsidR="00463533">
        <w:t>are usually</w:t>
      </w:r>
      <w:r w:rsidR="00BC392A">
        <w:t xml:space="preserve"> in a separate section of the supermarket</w:t>
      </w:r>
      <w:r w:rsidR="00463533">
        <w:t xml:space="preserve"> and are classified in the Code separately under Formulated Beverages</w:t>
      </w:r>
      <w:r w:rsidR="00BC392A">
        <w:t>. ‘Sports drinks’</w:t>
      </w:r>
      <w:r w:rsidRPr="00D45F7A">
        <w:t xml:space="preserve"> is a loose term that is used to describe beverages that are consumed at similar occasions and appear to have similar properties and</w:t>
      </w:r>
      <w:r>
        <w:t xml:space="preserve"> are linked with sport/exercise.</w:t>
      </w:r>
      <w:r w:rsidRPr="00D45F7A">
        <w:t xml:space="preserve"> There is no specific definition and it is decided by both the retailer and the manufacturer as to where a product is placed in store</w:t>
      </w:r>
      <w:r>
        <w:t>. The definition does not necessarily meet the definition of ‘electrolyte drink’ as defined in the Code (Standard 2.6.2).</w:t>
      </w:r>
    </w:p>
    <w:p w14:paraId="36164417" w14:textId="4E113C51" w:rsidR="00D53297" w:rsidRDefault="003F759E" w:rsidP="003F759E">
      <w:pPr>
        <w:pStyle w:val="Heading3"/>
      </w:pPr>
      <w:bookmarkStart w:id="94" w:name="_Toc60824993"/>
      <w:bookmarkStart w:id="95" w:name="_Toc61442300"/>
      <w:bookmarkStart w:id="96" w:name="_Toc61449844"/>
      <w:bookmarkStart w:id="97" w:name="_Toc63342488"/>
      <w:bookmarkStart w:id="98" w:name="_Toc71711624"/>
      <w:bookmarkStart w:id="99" w:name="_Toc72673558"/>
      <w:r>
        <w:t>1.</w:t>
      </w:r>
      <w:r w:rsidR="000F4DDB">
        <w:t>7</w:t>
      </w:r>
      <w:r>
        <w:t>.2</w:t>
      </w:r>
      <w:r>
        <w:tab/>
        <w:t>New Zealand</w:t>
      </w:r>
      <w:bookmarkEnd w:id="94"/>
      <w:bookmarkEnd w:id="95"/>
      <w:bookmarkEnd w:id="96"/>
      <w:bookmarkEnd w:id="97"/>
      <w:bookmarkEnd w:id="98"/>
      <w:bookmarkEnd w:id="99"/>
    </w:p>
    <w:p w14:paraId="0F3EEC14" w14:textId="0C21B8C0" w:rsidR="00D53297" w:rsidRDefault="00D53297" w:rsidP="00424BD1">
      <w:pPr>
        <w:widowControl/>
        <w:spacing w:before="120" w:after="120"/>
      </w:pPr>
      <w:r>
        <w:t>Market share data for New Zealand indicate that</w:t>
      </w:r>
      <w:r w:rsidR="00F30226">
        <w:t xml:space="preserve"> electrolyte drinks </w:t>
      </w:r>
      <w:r>
        <w:t xml:space="preserve">account for 3% of the total soft drink market share in 2017. Sales analysis indicates a 1% decline in Off-trade sales. </w:t>
      </w:r>
      <w:r w:rsidR="00F769CC">
        <w:t xml:space="preserve">The </w:t>
      </w:r>
      <w:r>
        <w:t xml:space="preserve">Coca-Cola </w:t>
      </w:r>
      <w:r w:rsidR="00F769CC">
        <w:t xml:space="preserve">Company’s </w:t>
      </w:r>
      <w:r>
        <w:t>Powerade</w:t>
      </w:r>
      <w:r w:rsidR="00745D7B" w:rsidRPr="005C6651">
        <w:rPr>
          <w:vertAlign w:val="superscript"/>
        </w:rPr>
        <w:t>TM</w:t>
      </w:r>
      <w:r>
        <w:t xml:space="preserve"> holds the </w:t>
      </w:r>
      <w:r w:rsidR="0013044F">
        <w:t xml:space="preserve">dominant </w:t>
      </w:r>
      <w:r>
        <w:t xml:space="preserve">market share in this category, accounting for just over 60% of the retail value share in 2017 (Global Data, 2020). Sales data indicate that since the time of the children’s national nutrition survey in 2002, there has been a 54% increase in sales volume, and a 33% increase since the </w:t>
      </w:r>
      <w:r w:rsidR="00A23F25">
        <w:t xml:space="preserve">2008 </w:t>
      </w:r>
      <w:r>
        <w:t xml:space="preserve">Adult’s Nutrition Survey. </w:t>
      </w:r>
      <w:r w:rsidR="00C34B09">
        <w:t>Similar to Australia, this more likely i</w:t>
      </w:r>
      <w:r>
        <w:t>ndicat</w:t>
      </w:r>
      <w:r w:rsidR="00C34B09">
        <w:t>es</w:t>
      </w:r>
      <w:r>
        <w:t xml:space="preserve"> </w:t>
      </w:r>
      <w:r w:rsidR="008B4C8C">
        <w:t xml:space="preserve">an increase in </w:t>
      </w:r>
      <w:r>
        <w:t>the proportion of consumers</w:t>
      </w:r>
      <w:r w:rsidR="00C34B09">
        <w:t xml:space="preserve"> </w:t>
      </w:r>
      <w:r>
        <w:t>since the time of the surveys (Euromonitor International, 2018).</w:t>
      </w:r>
    </w:p>
    <w:p w14:paraId="1956343B" w14:textId="1CE60498" w:rsidR="00DE79D9" w:rsidRPr="00FC4076" w:rsidRDefault="00D3171B" w:rsidP="00303F27">
      <w:pPr>
        <w:pStyle w:val="Heading2"/>
      </w:pPr>
      <w:bookmarkStart w:id="100" w:name="_Toc60824994"/>
      <w:bookmarkStart w:id="101" w:name="_Toc61442301"/>
      <w:bookmarkStart w:id="102" w:name="_Toc61449845"/>
      <w:bookmarkStart w:id="103" w:name="_Toc63342489"/>
      <w:bookmarkStart w:id="104" w:name="_Toc71711625"/>
      <w:bookmarkStart w:id="105" w:name="_Toc72673559"/>
      <w:bookmarkStart w:id="106" w:name="_Toc286391008"/>
      <w:bookmarkStart w:id="107" w:name="_Toc11735630"/>
      <w:bookmarkStart w:id="108" w:name="_Toc29883114"/>
      <w:bookmarkStart w:id="109" w:name="_Toc41906801"/>
      <w:bookmarkStart w:id="110" w:name="_Toc41907548"/>
      <w:bookmarkStart w:id="111" w:name="_Toc120358578"/>
      <w:bookmarkStart w:id="112" w:name="_Toc175381435"/>
      <w:bookmarkEnd w:id="9"/>
      <w:bookmarkEnd w:id="10"/>
      <w:bookmarkEnd w:id="11"/>
      <w:bookmarkEnd w:id="12"/>
      <w:bookmarkEnd w:id="13"/>
      <w:bookmarkEnd w:id="44"/>
      <w:bookmarkEnd w:id="45"/>
      <w:bookmarkEnd w:id="46"/>
      <w:r w:rsidRPr="00FC4076">
        <w:t>1</w:t>
      </w:r>
      <w:r w:rsidR="00606C88" w:rsidRPr="00FC4076">
        <w:t>.</w:t>
      </w:r>
      <w:r w:rsidR="000F4DDB">
        <w:t>8</w:t>
      </w:r>
      <w:r w:rsidR="00DE79D9" w:rsidRPr="00FC4076">
        <w:tab/>
        <w:t>Procedure for assessment</w:t>
      </w:r>
      <w:bookmarkEnd w:id="100"/>
      <w:bookmarkEnd w:id="101"/>
      <w:bookmarkEnd w:id="102"/>
      <w:bookmarkEnd w:id="103"/>
      <w:bookmarkEnd w:id="104"/>
      <w:bookmarkEnd w:id="105"/>
    </w:p>
    <w:p w14:paraId="0F267CF5" w14:textId="65D0FCD3" w:rsidR="007522B0" w:rsidRDefault="00DE79D9" w:rsidP="00424BD1">
      <w:pPr>
        <w:widowControl/>
        <w:spacing w:before="120" w:after="120"/>
      </w:pPr>
      <w:r w:rsidRPr="00FC4076">
        <w:t xml:space="preserve">The </w:t>
      </w:r>
      <w:r w:rsidR="0064746C">
        <w:t>p</w:t>
      </w:r>
      <w:r w:rsidR="001F23F7" w:rsidRPr="00FC4076">
        <w:t xml:space="preserve">roposal </w:t>
      </w:r>
      <w:r w:rsidRPr="00FC4076">
        <w:t xml:space="preserve">is being assessed under the </w:t>
      </w:r>
      <w:r w:rsidR="00DD43F1">
        <w:t>G</w:t>
      </w:r>
      <w:r w:rsidR="00DD43F1" w:rsidRPr="00FC4076">
        <w:t xml:space="preserve">eneral </w:t>
      </w:r>
      <w:r w:rsidR="00DD43F1">
        <w:t>P</w:t>
      </w:r>
      <w:r w:rsidR="001F23F7" w:rsidRPr="00FC4076">
        <w:t>rocedure</w:t>
      </w:r>
      <w:r w:rsidRPr="00FC4076">
        <w:t>.</w:t>
      </w:r>
      <w:r w:rsidR="00F0198B">
        <w:t xml:space="preserve"> </w:t>
      </w:r>
    </w:p>
    <w:p w14:paraId="4A5822C6" w14:textId="1D801CB2" w:rsidR="007522B0" w:rsidRDefault="007522B0" w:rsidP="00424BD1">
      <w:pPr>
        <w:widowControl/>
        <w:spacing w:before="120" w:after="120"/>
      </w:pPr>
      <w:r>
        <w:t xml:space="preserve">As mentioned above, </w:t>
      </w:r>
      <w:r w:rsidRPr="00C97F89">
        <w:t xml:space="preserve">FSANZ </w:t>
      </w:r>
      <w:r>
        <w:t xml:space="preserve">assessed the </w:t>
      </w:r>
      <w:r w:rsidR="0064746C">
        <w:t>p</w:t>
      </w:r>
      <w:r>
        <w:t xml:space="preserve">roposal in 2014 and then prepared a draft variation to </w:t>
      </w:r>
      <w:r w:rsidRPr="00BB1A70">
        <w:rPr>
          <w:szCs w:val="22"/>
        </w:rPr>
        <w:t xml:space="preserve">the </w:t>
      </w:r>
      <w:r w:rsidRPr="00291212">
        <w:rPr>
          <w:szCs w:val="22"/>
        </w:rPr>
        <w:t>Code</w:t>
      </w:r>
      <w:r w:rsidRPr="00BB1A70">
        <w:rPr>
          <w:i/>
          <w:szCs w:val="22"/>
        </w:rPr>
        <w:t xml:space="preserve"> </w:t>
      </w:r>
      <w:r>
        <w:rPr>
          <w:szCs w:val="22"/>
        </w:rPr>
        <w:t>that would</w:t>
      </w:r>
      <w:r w:rsidRPr="00BB1A70">
        <w:rPr>
          <w:szCs w:val="22"/>
        </w:rPr>
        <w:t xml:space="preserve"> give effect to the above</w:t>
      </w:r>
      <w:r>
        <w:rPr>
          <w:szCs w:val="22"/>
        </w:rPr>
        <w:t xml:space="preserve"> aims or outcomes</w:t>
      </w:r>
      <w:r w:rsidRPr="00BB1A70">
        <w:rPr>
          <w:szCs w:val="22"/>
        </w:rPr>
        <w:t>.</w:t>
      </w:r>
      <w:r w:rsidRPr="00BB1A70">
        <w:rPr>
          <w:i/>
          <w:szCs w:val="22"/>
        </w:rPr>
        <w:t xml:space="preserve"> </w:t>
      </w:r>
      <w:r w:rsidRPr="00BB1A70">
        <w:rPr>
          <w:szCs w:val="22"/>
        </w:rPr>
        <w:t>FSANZ the</w:t>
      </w:r>
      <w:r>
        <w:t xml:space="preserve">n issued a CFS in 2014, seeking submissions on that assessment and draft variation. </w:t>
      </w:r>
    </w:p>
    <w:p w14:paraId="45F93608" w14:textId="314EC42D" w:rsidR="007522B0" w:rsidRPr="00066995" w:rsidRDefault="007522B0" w:rsidP="00424BD1">
      <w:pPr>
        <w:widowControl/>
        <w:spacing w:before="120" w:after="120"/>
        <w:rPr>
          <w:rFonts w:cs="Arial"/>
          <w:szCs w:val="22"/>
        </w:rPr>
      </w:pPr>
      <w:r w:rsidRPr="00066995">
        <w:rPr>
          <w:rFonts w:cs="Arial"/>
          <w:szCs w:val="22"/>
        </w:rPr>
        <w:lastRenderedPageBreak/>
        <w:t xml:space="preserve">FSANZ is now required to decide whether to approve, amend or reject the draft variation that it </w:t>
      </w:r>
      <w:r w:rsidR="00D82202" w:rsidRPr="00066995">
        <w:rPr>
          <w:rFonts w:cs="Arial"/>
          <w:szCs w:val="22"/>
        </w:rPr>
        <w:t xml:space="preserve">prepared </w:t>
      </w:r>
      <w:r w:rsidRPr="00066995">
        <w:rPr>
          <w:rFonts w:cs="Arial"/>
          <w:szCs w:val="22"/>
        </w:rPr>
        <w:t>in 2014.</w:t>
      </w:r>
      <w:r w:rsidR="00066995" w:rsidRPr="00066995">
        <w:rPr>
          <w:rFonts w:cs="Arial"/>
          <w:szCs w:val="22"/>
        </w:rPr>
        <w:t xml:space="preserve"> </w:t>
      </w:r>
      <w:r w:rsidR="00066995" w:rsidRPr="004D795D">
        <w:rPr>
          <w:rFonts w:cs="Arial"/>
          <w:szCs w:val="22"/>
        </w:rPr>
        <w:t>The matters listed in sections 18 and 59 of the FSANZ Act remain relevant to that decision.</w:t>
      </w:r>
    </w:p>
    <w:p w14:paraId="222D3705" w14:textId="56D99DAC" w:rsidR="007522B0" w:rsidRDefault="00066995" w:rsidP="00424BD1">
      <w:pPr>
        <w:widowControl/>
        <w:spacing w:before="120" w:after="120"/>
      </w:pPr>
      <w:r>
        <w:t xml:space="preserve">After considering the submissions received, and for the reasons set out in this paper, </w:t>
      </w:r>
      <w:r w:rsidR="007522B0">
        <w:t>FSANZ</w:t>
      </w:r>
      <w:r>
        <w:t xml:space="preserve">’s preliminary view is that amendment of the draft variation </w:t>
      </w:r>
      <w:r w:rsidR="003315F8">
        <w:t>may be</w:t>
      </w:r>
      <w:r>
        <w:t xml:space="preserve"> warranted</w:t>
      </w:r>
      <w:r w:rsidR="007522B0">
        <w:t xml:space="preserve">. The purpose of this </w:t>
      </w:r>
      <w:r w:rsidR="00417F12">
        <w:t>C</w:t>
      </w:r>
      <w:r w:rsidR="007522B0">
        <w:t xml:space="preserve">onsultation paper </w:t>
      </w:r>
      <w:r w:rsidR="00E81F4E">
        <w:t xml:space="preserve">is </w:t>
      </w:r>
      <w:r w:rsidR="007522B0">
        <w:t xml:space="preserve">to seek public submissions on these possible amendments and their rationale. The </w:t>
      </w:r>
      <w:r w:rsidR="00FC7B1D">
        <w:t>submissions</w:t>
      </w:r>
      <w:r w:rsidR="007522B0">
        <w:t xml:space="preserve"> received, together with those received by FSANZ in 2014, will inform FSANZ’s decision on whether to approve, amend or reject the draft variation. </w:t>
      </w:r>
      <w:r w:rsidR="00FC7B1D">
        <w:t>To assist in this regard, FSANZ has prepared a new version of the draft variation to provide an example of how FSANZ</w:t>
      </w:r>
      <w:r w:rsidR="0072239B">
        <w:t>’s</w:t>
      </w:r>
      <w:r w:rsidR="00FC7B1D">
        <w:t xml:space="preserve"> proposed modified approach described in this paper could be implemented in the Code (see </w:t>
      </w:r>
      <w:r w:rsidR="00E119B3">
        <w:t xml:space="preserve">‘Example amended draft variation’ at </w:t>
      </w:r>
      <w:r w:rsidR="00FC7B1D">
        <w:t>Attachment A).</w:t>
      </w:r>
    </w:p>
    <w:p w14:paraId="08A67987" w14:textId="1E2C6EF5" w:rsidR="001077BB" w:rsidRDefault="001077BB" w:rsidP="00424BD1">
      <w:pPr>
        <w:pStyle w:val="Heading1"/>
        <w:widowControl/>
        <w:spacing w:before="120" w:after="120"/>
      </w:pPr>
      <w:bookmarkStart w:id="113" w:name="_Toc300933424"/>
      <w:bookmarkStart w:id="114" w:name="_Toc425174934"/>
      <w:bookmarkStart w:id="115" w:name="_Toc60824995"/>
      <w:bookmarkStart w:id="116" w:name="_Toc61442302"/>
      <w:bookmarkStart w:id="117" w:name="_Toc61449846"/>
      <w:bookmarkStart w:id="118" w:name="_Toc63342490"/>
      <w:bookmarkStart w:id="119" w:name="_Toc71711626"/>
      <w:bookmarkStart w:id="120" w:name="_Toc72673560"/>
      <w:bookmarkEnd w:id="106"/>
      <w:bookmarkEnd w:id="113"/>
      <w:r>
        <w:t>2</w:t>
      </w:r>
      <w:r>
        <w:tab/>
        <w:t>Summary of the assessment</w:t>
      </w:r>
      <w:bookmarkEnd w:id="114"/>
      <w:bookmarkEnd w:id="115"/>
      <w:bookmarkEnd w:id="116"/>
      <w:bookmarkEnd w:id="117"/>
      <w:bookmarkEnd w:id="118"/>
      <w:bookmarkEnd w:id="119"/>
      <w:bookmarkEnd w:id="120"/>
    </w:p>
    <w:p w14:paraId="1237DA33" w14:textId="335667D4" w:rsidR="004A5662" w:rsidRPr="004A5662" w:rsidRDefault="004A5662" w:rsidP="002E47E7">
      <w:r>
        <w:rPr>
          <w:lang w:bidi="ar-SA"/>
        </w:rPr>
        <w:t xml:space="preserve">P1030 </w:t>
      </w:r>
      <w:r w:rsidRPr="004A5662">
        <w:rPr>
          <w:lang w:bidi="ar-SA"/>
        </w:rPr>
        <w:t xml:space="preserve">was reassessed following </w:t>
      </w:r>
      <w:r>
        <w:rPr>
          <w:lang w:bidi="ar-SA"/>
        </w:rPr>
        <w:t xml:space="preserve">FSANZ’s consideration of submissions received during the call for submissions (CFS) period in </w:t>
      </w:r>
      <w:r w:rsidRPr="004A5662">
        <w:rPr>
          <w:lang w:bidi="ar-SA"/>
        </w:rPr>
        <w:t>2014</w:t>
      </w:r>
      <w:r w:rsidR="00505BE1">
        <w:rPr>
          <w:lang w:bidi="ar-SA"/>
        </w:rPr>
        <w:t xml:space="preserve"> and </w:t>
      </w:r>
      <w:r w:rsidR="00973C49">
        <w:rPr>
          <w:lang w:bidi="ar-SA"/>
        </w:rPr>
        <w:t xml:space="preserve">in light of </w:t>
      </w:r>
      <w:r w:rsidR="00505BE1">
        <w:rPr>
          <w:lang w:bidi="ar-SA"/>
        </w:rPr>
        <w:t>market developments since that time</w:t>
      </w:r>
      <w:r>
        <w:rPr>
          <w:lang w:bidi="ar-SA"/>
        </w:rPr>
        <w:t>.</w:t>
      </w:r>
    </w:p>
    <w:p w14:paraId="7590DF8B" w14:textId="442EF8C6" w:rsidR="001077BB" w:rsidRPr="00FC4076" w:rsidRDefault="001077BB" w:rsidP="00303F27">
      <w:pPr>
        <w:pStyle w:val="Heading2"/>
      </w:pPr>
      <w:bookmarkStart w:id="121" w:name="_Toc300933438"/>
      <w:bookmarkStart w:id="122" w:name="_Toc425174935"/>
      <w:bookmarkStart w:id="123" w:name="_Toc60824996"/>
      <w:bookmarkStart w:id="124" w:name="_Toc61442303"/>
      <w:bookmarkStart w:id="125" w:name="_Toc61449847"/>
      <w:bookmarkStart w:id="126" w:name="_Toc63342491"/>
      <w:bookmarkStart w:id="127" w:name="_Toc71711627"/>
      <w:bookmarkStart w:id="128" w:name="_Toc72673561"/>
      <w:r w:rsidRPr="00FC4076">
        <w:t>2.1</w:t>
      </w:r>
      <w:r w:rsidRPr="00FC4076">
        <w:tab/>
        <w:t xml:space="preserve">Summary of issues raised </w:t>
      </w:r>
      <w:bookmarkEnd w:id="121"/>
      <w:r w:rsidRPr="00FC4076">
        <w:t xml:space="preserve">in </w:t>
      </w:r>
      <w:r w:rsidR="00E00C62">
        <w:t xml:space="preserve">2014 </w:t>
      </w:r>
      <w:r w:rsidRPr="00FC4076">
        <w:t>submissions</w:t>
      </w:r>
      <w:bookmarkEnd w:id="122"/>
      <w:bookmarkEnd w:id="123"/>
      <w:bookmarkEnd w:id="124"/>
      <w:bookmarkEnd w:id="125"/>
      <w:bookmarkEnd w:id="126"/>
      <w:bookmarkEnd w:id="127"/>
      <w:bookmarkEnd w:id="128"/>
    </w:p>
    <w:p w14:paraId="31ADE706" w14:textId="4E75D903" w:rsidR="00911CE6" w:rsidRPr="0062736F" w:rsidRDefault="00911CE6" w:rsidP="00424BD1">
      <w:pPr>
        <w:widowControl/>
        <w:spacing w:before="120" w:after="120"/>
        <w:rPr>
          <w:rFonts w:cs="Arial"/>
          <w:szCs w:val="22"/>
        </w:rPr>
      </w:pPr>
      <w:r w:rsidRPr="0062736F">
        <w:rPr>
          <w:rFonts w:cs="Arial"/>
          <w:szCs w:val="22"/>
        </w:rPr>
        <w:t xml:space="preserve">FSANZ received 39 responses to </w:t>
      </w:r>
      <w:r w:rsidR="002E7304">
        <w:rPr>
          <w:rFonts w:cs="Arial"/>
          <w:szCs w:val="22"/>
        </w:rPr>
        <w:t xml:space="preserve">the </w:t>
      </w:r>
      <w:r w:rsidR="004A5662">
        <w:rPr>
          <w:rFonts w:cs="Arial"/>
          <w:szCs w:val="22"/>
        </w:rPr>
        <w:t xml:space="preserve">P1030 </w:t>
      </w:r>
      <w:r w:rsidR="0013044F">
        <w:rPr>
          <w:rFonts w:cs="Arial"/>
          <w:szCs w:val="22"/>
        </w:rPr>
        <w:t xml:space="preserve">2014 </w:t>
      </w:r>
      <w:r w:rsidR="004C45E7">
        <w:rPr>
          <w:rFonts w:cs="Arial"/>
          <w:szCs w:val="22"/>
        </w:rPr>
        <w:t>CFS from the following stakeholder groups</w:t>
      </w:r>
      <w:r w:rsidRPr="0062736F">
        <w:rPr>
          <w:rFonts w:cs="Arial"/>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977"/>
      </w:tblGrid>
      <w:tr w:rsidR="00911CE6" w:rsidRPr="0062736F" w14:paraId="6C0F40ED" w14:textId="77777777" w:rsidTr="008216CE">
        <w:trPr>
          <w:tblHeader/>
        </w:trPr>
        <w:tc>
          <w:tcPr>
            <w:tcW w:w="2518" w:type="dxa"/>
          </w:tcPr>
          <w:p w14:paraId="37FDAC5A" w14:textId="77777777" w:rsidR="00911CE6" w:rsidRPr="0062736F" w:rsidRDefault="00911CE6" w:rsidP="00424BD1">
            <w:pPr>
              <w:widowControl/>
              <w:rPr>
                <w:rFonts w:cs="Arial"/>
                <w:b/>
                <w:szCs w:val="22"/>
              </w:rPr>
            </w:pPr>
            <w:r w:rsidRPr="0062736F">
              <w:rPr>
                <w:rFonts w:cs="Arial"/>
                <w:b/>
                <w:szCs w:val="22"/>
              </w:rPr>
              <w:t>Submitter group</w:t>
            </w:r>
          </w:p>
        </w:tc>
        <w:tc>
          <w:tcPr>
            <w:tcW w:w="2977" w:type="dxa"/>
          </w:tcPr>
          <w:p w14:paraId="19C9C174" w14:textId="77777777" w:rsidR="00911CE6" w:rsidRPr="0062736F" w:rsidRDefault="00911CE6" w:rsidP="00424BD1">
            <w:pPr>
              <w:widowControl/>
              <w:rPr>
                <w:rFonts w:cs="Arial"/>
                <w:b/>
                <w:szCs w:val="22"/>
              </w:rPr>
            </w:pPr>
            <w:r w:rsidRPr="0062736F">
              <w:rPr>
                <w:rFonts w:cs="Arial"/>
                <w:b/>
                <w:szCs w:val="22"/>
              </w:rPr>
              <w:t>No of submissions</w:t>
            </w:r>
          </w:p>
        </w:tc>
      </w:tr>
      <w:tr w:rsidR="00911CE6" w:rsidRPr="0062736F" w14:paraId="68315F48" w14:textId="77777777" w:rsidTr="004C45E7">
        <w:tc>
          <w:tcPr>
            <w:tcW w:w="2518" w:type="dxa"/>
          </w:tcPr>
          <w:p w14:paraId="203AB05F" w14:textId="77777777" w:rsidR="00911CE6" w:rsidRPr="0062736F" w:rsidRDefault="00911CE6" w:rsidP="00424BD1">
            <w:pPr>
              <w:widowControl/>
              <w:rPr>
                <w:rFonts w:cs="Arial"/>
                <w:szCs w:val="22"/>
              </w:rPr>
            </w:pPr>
            <w:r w:rsidRPr="0062736F">
              <w:rPr>
                <w:rFonts w:cs="Arial"/>
                <w:szCs w:val="22"/>
              </w:rPr>
              <w:t>Industry</w:t>
            </w:r>
          </w:p>
        </w:tc>
        <w:tc>
          <w:tcPr>
            <w:tcW w:w="2977" w:type="dxa"/>
          </w:tcPr>
          <w:p w14:paraId="068CF220" w14:textId="77777777" w:rsidR="00911CE6" w:rsidRPr="0062736F" w:rsidRDefault="00911CE6" w:rsidP="00424BD1">
            <w:pPr>
              <w:widowControl/>
              <w:rPr>
                <w:rFonts w:cs="Arial"/>
                <w:szCs w:val="22"/>
              </w:rPr>
            </w:pPr>
            <w:r w:rsidRPr="0062736F">
              <w:rPr>
                <w:rFonts w:cs="Arial"/>
                <w:szCs w:val="22"/>
              </w:rPr>
              <w:t>10</w:t>
            </w:r>
          </w:p>
        </w:tc>
      </w:tr>
      <w:tr w:rsidR="00911CE6" w:rsidRPr="0062736F" w14:paraId="21A18E8C" w14:textId="77777777" w:rsidTr="004C45E7">
        <w:tc>
          <w:tcPr>
            <w:tcW w:w="2518" w:type="dxa"/>
          </w:tcPr>
          <w:p w14:paraId="49214D0F" w14:textId="77777777" w:rsidR="00911CE6" w:rsidRPr="0062736F" w:rsidRDefault="00911CE6" w:rsidP="00424BD1">
            <w:pPr>
              <w:widowControl/>
              <w:rPr>
                <w:rFonts w:cs="Arial"/>
                <w:szCs w:val="22"/>
              </w:rPr>
            </w:pPr>
            <w:r w:rsidRPr="0062736F">
              <w:rPr>
                <w:rFonts w:cs="Arial"/>
                <w:szCs w:val="22"/>
              </w:rPr>
              <w:t>Public health</w:t>
            </w:r>
          </w:p>
        </w:tc>
        <w:tc>
          <w:tcPr>
            <w:tcW w:w="2977" w:type="dxa"/>
          </w:tcPr>
          <w:p w14:paraId="1D96149D" w14:textId="35069260" w:rsidR="00911CE6" w:rsidRPr="0062736F" w:rsidRDefault="00827E9E" w:rsidP="00827E9E">
            <w:pPr>
              <w:widowControl/>
              <w:rPr>
                <w:rFonts w:cs="Arial"/>
                <w:szCs w:val="22"/>
              </w:rPr>
            </w:pPr>
            <w:r w:rsidRPr="0062736F">
              <w:rPr>
                <w:rFonts w:cs="Arial"/>
                <w:szCs w:val="22"/>
              </w:rPr>
              <w:t>1</w:t>
            </w:r>
            <w:r>
              <w:rPr>
                <w:rFonts w:cs="Arial"/>
                <w:szCs w:val="22"/>
              </w:rPr>
              <w:t>1</w:t>
            </w:r>
          </w:p>
        </w:tc>
      </w:tr>
      <w:tr w:rsidR="00827E9E" w:rsidRPr="0062736F" w14:paraId="5D8FAC6B" w14:textId="77777777" w:rsidTr="004C45E7">
        <w:tc>
          <w:tcPr>
            <w:tcW w:w="2518" w:type="dxa"/>
          </w:tcPr>
          <w:p w14:paraId="6DA50E1C" w14:textId="39C8AE29" w:rsidR="00827E9E" w:rsidRDefault="00827E9E" w:rsidP="00827E9E">
            <w:pPr>
              <w:widowControl/>
              <w:rPr>
                <w:rFonts w:cs="Arial"/>
                <w:szCs w:val="22"/>
              </w:rPr>
            </w:pPr>
            <w:r w:rsidRPr="0062736F">
              <w:rPr>
                <w:rFonts w:cs="Arial"/>
                <w:szCs w:val="22"/>
              </w:rPr>
              <w:t xml:space="preserve">Health </w:t>
            </w:r>
            <w:r>
              <w:rPr>
                <w:rFonts w:cs="Arial"/>
                <w:szCs w:val="22"/>
              </w:rPr>
              <w:t>p</w:t>
            </w:r>
            <w:r w:rsidRPr="0062736F">
              <w:rPr>
                <w:rFonts w:cs="Arial"/>
                <w:szCs w:val="22"/>
              </w:rPr>
              <w:t>rofessionals</w:t>
            </w:r>
            <w:r>
              <w:rPr>
                <w:rFonts w:cs="Arial"/>
                <w:szCs w:val="22"/>
              </w:rPr>
              <w:t xml:space="preserve"> &amp; academics</w:t>
            </w:r>
          </w:p>
        </w:tc>
        <w:tc>
          <w:tcPr>
            <w:tcW w:w="2977" w:type="dxa"/>
          </w:tcPr>
          <w:p w14:paraId="701B2CB9" w14:textId="3DF6A299" w:rsidR="00827E9E" w:rsidRDefault="00827E9E" w:rsidP="00827E9E">
            <w:pPr>
              <w:widowControl/>
              <w:rPr>
                <w:rFonts w:cs="Arial"/>
                <w:szCs w:val="22"/>
              </w:rPr>
            </w:pPr>
            <w:r>
              <w:rPr>
                <w:rFonts w:cs="Arial"/>
                <w:szCs w:val="22"/>
              </w:rPr>
              <w:t>7</w:t>
            </w:r>
          </w:p>
        </w:tc>
      </w:tr>
      <w:tr w:rsidR="00827E9E" w:rsidRPr="0062736F" w14:paraId="54EF178D" w14:textId="77777777" w:rsidTr="004C45E7">
        <w:tc>
          <w:tcPr>
            <w:tcW w:w="2518" w:type="dxa"/>
          </w:tcPr>
          <w:p w14:paraId="4DE65D96" w14:textId="6744301C" w:rsidR="00827E9E" w:rsidRPr="0062736F" w:rsidRDefault="00827E9E" w:rsidP="00827E9E">
            <w:pPr>
              <w:widowControl/>
              <w:rPr>
                <w:rFonts w:cs="Arial"/>
                <w:szCs w:val="22"/>
              </w:rPr>
            </w:pPr>
            <w:r w:rsidRPr="0062736F">
              <w:rPr>
                <w:rFonts w:cs="Arial"/>
                <w:szCs w:val="22"/>
              </w:rPr>
              <w:t>Consumer</w:t>
            </w:r>
            <w:r>
              <w:rPr>
                <w:rFonts w:cs="Arial"/>
                <w:szCs w:val="22"/>
              </w:rPr>
              <w:t xml:space="preserve"> group</w:t>
            </w:r>
            <w:r w:rsidRPr="0062736F">
              <w:rPr>
                <w:rFonts w:cs="Arial"/>
                <w:szCs w:val="22"/>
              </w:rPr>
              <w:t>s</w:t>
            </w:r>
            <w:r>
              <w:rPr>
                <w:rFonts w:cs="Arial"/>
                <w:szCs w:val="22"/>
              </w:rPr>
              <w:t xml:space="preserve"> &amp; individuals</w:t>
            </w:r>
          </w:p>
        </w:tc>
        <w:tc>
          <w:tcPr>
            <w:tcW w:w="2977" w:type="dxa"/>
          </w:tcPr>
          <w:p w14:paraId="19A11D55" w14:textId="26795271" w:rsidR="00827E9E" w:rsidRPr="0062736F" w:rsidRDefault="00827E9E" w:rsidP="00827E9E">
            <w:pPr>
              <w:widowControl/>
              <w:rPr>
                <w:rFonts w:cs="Arial"/>
                <w:szCs w:val="22"/>
              </w:rPr>
            </w:pPr>
            <w:r>
              <w:rPr>
                <w:rFonts w:cs="Arial"/>
                <w:szCs w:val="22"/>
              </w:rPr>
              <w:t>5</w:t>
            </w:r>
          </w:p>
        </w:tc>
      </w:tr>
      <w:tr w:rsidR="00827E9E" w:rsidRPr="0062736F" w14:paraId="73B4D073" w14:textId="77777777" w:rsidTr="004C45E7">
        <w:tc>
          <w:tcPr>
            <w:tcW w:w="2518" w:type="dxa"/>
          </w:tcPr>
          <w:p w14:paraId="6DD488B2" w14:textId="77777777" w:rsidR="00827E9E" w:rsidRPr="0062736F" w:rsidRDefault="00827E9E" w:rsidP="00827E9E">
            <w:pPr>
              <w:widowControl/>
              <w:rPr>
                <w:rFonts w:cs="Arial"/>
                <w:szCs w:val="22"/>
              </w:rPr>
            </w:pPr>
            <w:r w:rsidRPr="0062736F">
              <w:rPr>
                <w:rFonts w:cs="Arial"/>
                <w:szCs w:val="22"/>
              </w:rPr>
              <w:t>Jurisdictions</w:t>
            </w:r>
          </w:p>
        </w:tc>
        <w:tc>
          <w:tcPr>
            <w:tcW w:w="2977" w:type="dxa"/>
          </w:tcPr>
          <w:p w14:paraId="0D8CF58D" w14:textId="4291D6B6" w:rsidR="00827E9E" w:rsidRPr="0062736F" w:rsidRDefault="00827E9E" w:rsidP="00827E9E">
            <w:pPr>
              <w:widowControl/>
              <w:rPr>
                <w:rFonts w:cs="Arial"/>
                <w:szCs w:val="22"/>
              </w:rPr>
            </w:pPr>
            <w:r w:rsidRPr="0062736F">
              <w:rPr>
                <w:rFonts w:cs="Arial"/>
                <w:szCs w:val="22"/>
              </w:rPr>
              <w:t xml:space="preserve">5 </w:t>
            </w:r>
          </w:p>
        </w:tc>
      </w:tr>
      <w:tr w:rsidR="00827E9E" w:rsidRPr="0062736F" w14:paraId="1955BCF7" w14:textId="77777777" w:rsidTr="004C45E7">
        <w:tc>
          <w:tcPr>
            <w:tcW w:w="2518" w:type="dxa"/>
          </w:tcPr>
          <w:p w14:paraId="1702D040" w14:textId="62FCA298" w:rsidR="00827E9E" w:rsidRPr="0062736F" w:rsidRDefault="00827E9E" w:rsidP="00827E9E">
            <w:pPr>
              <w:widowControl/>
              <w:rPr>
                <w:rFonts w:cs="Arial"/>
                <w:szCs w:val="22"/>
              </w:rPr>
            </w:pPr>
            <w:r>
              <w:rPr>
                <w:rFonts w:cs="Arial"/>
                <w:szCs w:val="22"/>
              </w:rPr>
              <w:t>Government, other</w:t>
            </w:r>
          </w:p>
        </w:tc>
        <w:tc>
          <w:tcPr>
            <w:tcW w:w="2977" w:type="dxa"/>
          </w:tcPr>
          <w:p w14:paraId="61FBF0E7" w14:textId="28FBE7E9" w:rsidR="00827E9E" w:rsidRPr="0062736F" w:rsidRDefault="00827E9E" w:rsidP="00827E9E">
            <w:pPr>
              <w:widowControl/>
              <w:rPr>
                <w:rFonts w:cs="Arial"/>
                <w:szCs w:val="22"/>
              </w:rPr>
            </w:pPr>
            <w:r>
              <w:rPr>
                <w:rFonts w:cs="Arial"/>
                <w:szCs w:val="22"/>
              </w:rPr>
              <w:t>1</w:t>
            </w:r>
          </w:p>
        </w:tc>
      </w:tr>
    </w:tbl>
    <w:p w14:paraId="6FCB2B92" w14:textId="02965CCE" w:rsidR="0064758D" w:rsidRDefault="0064758D" w:rsidP="00424BD1">
      <w:pPr>
        <w:widowControl/>
        <w:spacing w:before="120" w:after="120"/>
      </w:pPr>
      <w:r>
        <w:t xml:space="preserve">The consultation period closed on 30 September 2014. </w:t>
      </w:r>
    </w:p>
    <w:p w14:paraId="31BE34FD" w14:textId="2819A987" w:rsidR="00FE4CDD" w:rsidRDefault="004C45E7" w:rsidP="00424BD1">
      <w:pPr>
        <w:widowControl/>
        <w:spacing w:before="120" w:after="120"/>
      </w:pPr>
      <w:r>
        <w:t>T</w:t>
      </w:r>
      <w:r w:rsidR="00FE4CDD">
        <w:t xml:space="preserve">able </w:t>
      </w:r>
      <w:r>
        <w:t xml:space="preserve">2 </w:t>
      </w:r>
      <w:r w:rsidR="0064758D">
        <w:t xml:space="preserve">below </w:t>
      </w:r>
      <w:r w:rsidR="00B66B9C">
        <w:t>provides a high level summary of issues</w:t>
      </w:r>
      <w:r w:rsidR="0064746C">
        <w:t xml:space="preserve"> originally</w:t>
      </w:r>
      <w:r w:rsidR="00B66B9C">
        <w:t xml:space="preserve"> relevant to </w:t>
      </w:r>
      <w:r w:rsidR="004A5662">
        <w:t>P1030</w:t>
      </w:r>
      <w:r w:rsidR="00B66B9C">
        <w:t xml:space="preserve">. As stated above, </w:t>
      </w:r>
      <w:r w:rsidR="004A5662">
        <w:t>FSANZ</w:t>
      </w:r>
      <w:r w:rsidR="008148E9">
        <w:t xml:space="preserve"> </w:t>
      </w:r>
      <w:r w:rsidR="00B66B9C">
        <w:t xml:space="preserve">is no longer </w:t>
      </w:r>
      <w:r w:rsidR="004A5662">
        <w:t>proposing that</w:t>
      </w:r>
      <w:r w:rsidR="00B66B9C">
        <w:t xml:space="preserve"> </w:t>
      </w:r>
      <w:r w:rsidR="0072239B">
        <w:t>electrolyte drinks</w:t>
      </w:r>
      <w:r w:rsidR="00B66B9C">
        <w:t xml:space="preserve"> </w:t>
      </w:r>
      <w:r w:rsidR="004A5662">
        <w:t xml:space="preserve">be </w:t>
      </w:r>
      <w:r w:rsidR="00B66B9C">
        <w:t xml:space="preserve">regulated by Standard 2.9.4. </w:t>
      </w:r>
      <w:r w:rsidR="002E7304">
        <w:t>A m</w:t>
      </w:r>
      <w:r w:rsidR="00895F9E">
        <w:t>ore detailed d</w:t>
      </w:r>
      <w:r w:rsidR="00FE4CDD" w:rsidRPr="00FE4CDD">
        <w:t xml:space="preserve">iscussion of </w:t>
      </w:r>
      <w:r>
        <w:t xml:space="preserve">the risk management of </w:t>
      </w:r>
      <w:r w:rsidR="0076562E">
        <w:t>relevant</w:t>
      </w:r>
      <w:r w:rsidR="00FE4CDD" w:rsidRPr="00FE4CDD">
        <w:t xml:space="preserve"> issues </w:t>
      </w:r>
      <w:r w:rsidR="000A165C">
        <w:t xml:space="preserve">including those raised by submitters </w:t>
      </w:r>
      <w:r>
        <w:t>is</w:t>
      </w:r>
      <w:r w:rsidR="00FE4CDD" w:rsidRPr="00FE4CDD">
        <w:t xml:space="preserve"> </w:t>
      </w:r>
      <w:r w:rsidR="00895F9E">
        <w:t>given</w:t>
      </w:r>
      <w:r w:rsidR="00FE4CDD" w:rsidRPr="00FE4CDD">
        <w:t xml:space="preserve"> </w:t>
      </w:r>
      <w:r>
        <w:t>in Section 2.3</w:t>
      </w:r>
      <w:r w:rsidR="00FD3966">
        <w:t xml:space="preserve"> of this </w:t>
      </w:r>
      <w:r w:rsidR="00417F12">
        <w:t>C</w:t>
      </w:r>
      <w:r w:rsidR="00FD3966">
        <w:t>onsultation paper</w:t>
      </w:r>
      <w:r w:rsidR="0053743A">
        <w:t>.</w:t>
      </w:r>
    </w:p>
    <w:p w14:paraId="30CE1B5A" w14:textId="5C835C9F" w:rsidR="00FE4CDD" w:rsidRDefault="00FE4CDD" w:rsidP="00303F27">
      <w:pPr>
        <w:pStyle w:val="FSTableTitle"/>
        <w:keepNext/>
        <w:widowControl/>
        <w:spacing w:before="120" w:after="120"/>
      </w:pPr>
      <w:r>
        <w:t xml:space="preserve">Table 2: </w:t>
      </w:r>
      <w:r w:rsidR="0021182E">
        <w:t>High level s</w:t>
      </w:r>
      <w:r>
        <w:t xml:space="preserve">ummary of issues </w:t>
      </w:r>
      <w:r w:rsidR="007C2A53">
        <w:t xml:space="preserve"> </w:t>
      </w:r>
    </w:p>
    <w:tbl>
      <w:tblPr>
        <w:tblStyle w:val="TableGrid"/>
        <w:tblW w:w="5000" w:type="pct"/>
        <w:tblLook w:val="04A0" w:firstRow="1" w:lastRow="0" w:firstColumn="1" w:lastColumn="0" w:noHBand="0" w:noVBand="1"/>
      </w:tblPr>
      <w:tblGrid>
        <w:gridCol w:w="3785"/>
        <w:gridCol w:w="1794"/>
        <w:gridCol w:w="3481"/>
      </w:tblGrid>
      <w:tr w:rsidR="00266072" w:rsidRPr="00CC7857" w14:paraId="217521ED" w14:textId="77777777" w:rsidTr="00303F27">
        <w:trPr>
          <w:tblHeader/>
        </w:trPr>
        <w:tc>
          <w:tcPr>
            <w:tcW w:w="2089" w:type="pct"/>
          </w:tcPr>
          <w:p w14:paraId="4CF5B981" w14:textId="5B2DA53B" w:rsidR="00266072" w:rsidRPr="00CC7857" w:rsidRDefault="00266072" w:rsidP="00303F27">
            <w:pPr>
              <w:keepNext/>
              <w:widowControl/>
              <w:spacing w:before="120" w:after="120"/>
              <w:rPr>
                <w:b/>
                <w:sz w:val="20"/>
                <w:szCs w:val="20"/>
              </w:rPr>
            </w:pPr>
            <w:r w:rsidRPr="00CC7857">
              <w:rPr>
                <w:b/>
                <w:sz w:val="20"/>
                <w:szCs w:val="20"/>
              </w:rPr>
              <w:t>ISSUE</w:t>
            </w:r>
          </w:p>
        </w:tc>
        <w:tc>
          <w:tcPr>
            <w:tcW w:w="990" w:type="pct"/>
          </w:tcPr>
          <w:p w14:paraId="09DA65F4" w14:textId="77777777" w:rsidR="00266072" w:rsidRPr="00CC7857" w:rsidRDefault="00266072" w:rsidP="00303F27">
            <w:pPr>
              <w:keepNext/>
              <w:widowControl/>
              <w:spacing w:before="120" w:after="120"/>
              <w:rPr>
                <w:b/>
                <w:sz w:val="20"/>
                <w:szCs w:val="20"/>
              </w:rPr>
            </w:pPr>
            <w:r w:rsidRPr="00CC7857">
              <w:rPr>
                <w:b/>
                <w:sz w:val="20"/>
                <w:szCs w:val="20"/>
              </w:rPr>
              <w:t>SUBMITTER(S)</w:t>
            </w:r>
          </w:p>
        </w:tc>
        <w:tc>
          <w:tcPr>
            <w:tcW w:w="1921" w:type="pct"/>
          </w:tcPr>
          <w:p w14:paraId="1A85FE2F" w14:textId="44BA9BE4" w:rsidR="00266072" w:rsidRPr="00CC7857" w:rsidRDefault="00266072" w:rsidP="00303F27">
            <w:pPr>
              <w:keepNext/>
              <w:widowControl/>
              <w:spacing w:before="120" w:after="120"/>
              <w:rPr>
                <w:b/>
                <w:sz w:val="20"/>
                <w:szCs w:val="20"/>
              </w:rPr>
            </w:pPr>
            <w:r w:rsidRPr="00CC7857">
              <w:rPr>
                <w:b/>
                <w:sz w:val="20"/>
                <w:szCs w:val="20"/>
              </w:rPr>
              <w:t>FSANZ RESPONSE</w:t>
            </w:r>
            <w:r w:rsidRPr="00CC7857">
              <w:rPr>
                <w:sz w:val="20"/>
                <w:szCs w:val="20"/>
              </w:rPr>
              <w:t xml:space="preserve"> </w:t>
            </w:r>
          </w:p>
        </w:tc>
      </w:tr>
      <w:tr w:rsidR="00266072" w:rsidRPr="00CC7857" w14:paraId="01165DBA" w14:textId="1ABD4F32" w:rsidTr="004E00E6">
        <w:tc>
          <w:tcPr>
            <w:tcW w:w="5000" w:type="pct"/>
            <w:gridSpan w:val="3"/>
            <w:shd w:val="clear" w:color="auto" w:fill="FFCCFF"/>
          </w:tcPr>
          <w:p w14:paraId="25A33433" w14:textId="77777777" w:rsidR="00266072" w:rsidRPr="00CC7857" w:rsidRDefault="008A478A" w:rsidP="008A478A">
            <w:pPr>
              <w:widowControl/>
              <w:spacing w:before="120" w:after="120"/>
              <w:rPr>
                <w:b/>
                <w:sz w:val="20"/>
                <w:szCs w:val="20"/>
              </w:rPr>
            </w:pPr>
            <w:r>
              <w:rPr>
                <w:b/>
                <w:sz w:val="20"/>
                <w:szCs w:val="20"/>
              </w:rPr>
              <w:t>Regulatory</w:t>
            </w:r>
          </w:p>
        </w:tc>
      </w:tr>
      <w:tr w:rsidR="004E00E6" w:rsidRPr="00CC7857" w14:paraId="151E78D6" w14:textId="77777777" w:rsidTr="00424BD1">
        <w:tc>
          <w:tcPr>
            <w:tcW w:w="2089" w:type="pct"/>
          </w:tcPr>
          <w:p w14:paraId="017E87C7" w14:textId="57F91EA0" w:rsidR="004E00E6" w:rsidRPr="00AC481A" w:rsidRDefault="00AC481A" w:rsidP="008148E9">
            <w:pPr>
              <w:widowControl/>
              <w:spacing w:before="120" w:after="120"/>
              <w:rPr>
                <w:sz w:val="20"/>
                <w:szCs w:val="20"/>
              </w:rPr>
            </w:pPr>
            <w:r w:rsidRPr="00AC481A">
              <w:rPr>
                <w:sz w:val="20"/>
                <w:szCs w:val="20"/>
              </w:rPr>
              <w:t>Mixed support for transfer of</w:t>
            </w:r>
            <w:r w:rsidR="00F30226">
              <w:rPr>
                <w:sz w:val="20"/>
                <w:szCs w:val="20"/>
              </w:rPr>
              <w:t xml:space="preserve"> electrolyte drinks </w:t>
            </w:r>
            <w:r w:rsidRPr="00AC481A">
              <w:rPr>
                <w:sz w:val="20"/>
                <w:szCs w:val="20"/>
              </w:rPr>
              <w:t>to Standard 2.9.4</w:t>
            </w:r>
            <w:r>
              <w:rPr>
                <w:sz w:val="20"/>
                <w:szCs w:val="20"/>
              </w:rPr>
              <w:t>. Supported because</w:t>
            </w:r>
            <w:r w:rsidR="00F30226">
              <w:rPr>
                <w:sz w:val="20"/>
                <w:szCs w:val="20"/>
              </w:rPr>
              <w:t xml:space="preserve"> electrolyte drinks </w:t>
            </w:r>
            <w:r w:rsidR="001A1C59">
              <w:rPr>
                <w:sz w:val="20"/>
                <w:szCs w:val="20"/>
              </w:rPr>
              <w:t>are</w:t>
            </w:r>
            <w:r w:rsidRPr="00AC481A">
              <w:rPr>
                <w:sz w:val="20"/>
                <w:szCs w:val="20"/>
              </w:rPr>
              <w:t xml:space="preserve"> special purpose food (SPF); </w:t>
            </w:r>
            <w:r w:rsidR="001A1C59">
              <w:rPr>
                <w:sz w:val="20"/>
                <w:szCs w:val="20"/>
              </w:rPr>
              <w:t>but</w:t>
            </w:r>
            <w:r w:rsidRPr="00AC481A">
              <w:rPr>
                <w:sz w:val="20"/>
                <w:szCs w:val="20"/>
              </w:rPr>
              <w:t xml:space="preserve"> </w:t>
            </w:r>
            <w:r>
              <w:rPr>
                <w:sz w:val="20"/>
                <w:szCs w:val="20"/>
              </w:rPr>
              <w:t xml:space="preserve">not supported </w:t>
            </w:r>
            <w:r w:rsidRPr="00AC481A">
              <w:rPr>
                <w:sz w:val="20"/>
                <w:szCs w:val="20"/>
              </w:rPr>
              <w:t xml:space="preserve">as a SPF </w:t>
            </w:r>
            <w:r w:rsidR="0014120C">
              <w:rPr>
                <w:sz w:val="20"/>
                <w:szCs w:val="20"/>
              </w:rPr>
              <w:t xml:space="preserve">because of </w:t>
            </w:r>
            <w:r w:rsidRPr="00AC481A">
              <w:rPr>
                <w:sz w:val="20"/>
                <w:szCs w:val="20"/>
              </w:rPr>
              <w:t xml:space="preserve">exemption from Health Star Rating graphics, and inconsistency with current marketing and promotion approaches. </w:t>
            </w:r>
          </w:p>
        </w:tc>
        <w:tc>
          <w:tcPr>
            <w:tcW w:w="990" w:type="pct"/>
          </w:tcPr>
          <w:p w14:paraId="6E2B8C32" w14:textId="5B57D039" w:rsidR="004E00E6" w:rsidRPr="00CC7857" w:rsidRDefault="00C87C11" w:rsidP="00C87C11">
            <w:pPr>
              <w:widowControl/>
              <w:spacing w:before="120" w:after="120"/>
              <w:rPr>
                <w:sz w:val="20"/>
                <w:szCs w:val="20"/>
              </w:rPr>
            </w:pPr>
            <w:r>
              <w:rPr>
                <w:sz w:val="20"/>
                <w:szCs w:val="20"/>
              </w:rPr>
              <w:t>Jurisdictions</w:t>
            </w:r>
            <w:r w:rsidR="00900B64" w:rsidRPr="00CC7857">
              <w:rPr>
                <w:sz w:val="20"/>
                <w:szCs w:val="20"/>
              </w:rPr>
              <w:t>, Public health</w:t>
            </w:r>
            <w:r>
              <w:rPr>
                <w:sz w:val="20"/>
                <w:szCs w:val="20"/>
              </w:rPr>
              <w:t>, Health</w:t>
            </w:r>
            <w:r w:rsidR="00900B64" w:rsidRPr="00CC7857">
              <w:rPr>
                <w:sz w:val="20"/>
                <w:szCs w:val="20"/>
              </w:rPr>
              <w:t xml:space="preserve"> professionals</w:t>
            </w:r>
            <w:r>
              <w:rPr>
                <w:sz w:val="20"/>
                <w:szCs w:val="20"/>
              </w:rPr>
              <w:t xml:space="preserve"> &amp; academics</w:t>
            </w:r>
          </w:p>
        </w:tc>
        <w:tc>
          <w:tcPr>
            <w:tcW w:w="1921" w:type="pct"/>
          </w:tcPr>
          <w:p w14:paraId="17AE4F22" w14:textId="26E4B0DC" w:rsidR="004E00E6" w:rsidRPr="00CC7857" w:rsidRDefault="003315F8" w:rsidP="003315F8">
            <w:pPr>
              <w:widowControl/>
              <w:spacing w:before="120" w:after="120"/>
              <w:rPr>
                <w:sz w:val="20"/>
                <w:szCs w:val="20"/>
              </w:rPr>
            </w:pPr>
            <w:r>
              <w:rPr>
                <w:sz w:val="20"/>
                <w:szCs w:val="20"/>
              </w:rPr>
              <w:t>After considering submitters’ responses, FSANZ proposes to retain the</w:t>
            </w:r>
            <w:r w:rsidR="00625928">
              <w:rPr>
                <w:sz w:val="20"/>
                <w:szCs w:val="20"/>
              </w:rPr>
              <w:t xml:space="preserve"> regulation of electrolyte drinks </w:t>
            </w:r>
            <w:r>
              <w:rPr>
                <w:sz w:val="20"/>
                <w:szCs w:val="20"/>
              </w:rPr>
              <w:t>in</w:t>
            </w:r>
            <w:r w:rsidR="00625928">
              <w:rPr>
                <w:sz w:val="20"/>
                <w:szCs w:val="20"/>
              </w:rPr>
              <w:t xml:space="preserve"> Standard 2.</w:t>
            </w:r>
            <w:r>
              <w:rPr>
                <w:sz w:val="20"/>
                <w:szCs w:val="20"/>
              </w:rPr>
              <w:t>6.2</w:t>
            </w:r>
            <w:r w:rsidR="00625928">
              <w:rPr>
                <w:sz w:val="20"/>
                <w:szCs w:val="20"/>
              </w:rPr>
              <w:t xml:space="preserve">. </w:t>
            </w:r>
            <w:r w:rsidRPr="003315F8">
              <w:rPr>
                <w:sz w:val="20"/>
                <w:szCs w:val="20"/>
              </w:rPr>
              <w:t xml:space="preserve">Moving the </w:t>
            </w:r>
            <w:r w:rsidRPr="002E47E7">
              <w:rPr>
                <w:sz w:val="20"/>
                <w:szCs w:val="20"/>
              </w:rPr>
              <w:t xml:space="preserve">provisions that regulate electrolyte drinks from Standard 2.6.2 to 2.9.4 can, if required, be considered </w:t>
            </w:r>
            <w:r w:rsidRPr="003315F8">
              <w:rPr>
                <w:sz w:val="20"/>
                <w:szCs w:val="20"/>
              </w:rPr>
              <w:t>further</w:t>
            </w:r>
            <w:r w:rsidR="00B2011D" w:rsidRPr="003315F8">
              <w:rPr>
                <w:sz w:val="20"/>
                <w:szCs w:val="20"/>
              </w:rPr>
              <w:t xml:space="preserve"> </w:t>
            </w:r>
            <w:r w:rsidRPr="003315F8">
              <w:rPr>
                <w:sz w:val="20"/>
                <w:szCs w:val="20"/>
              </w:rPr>
              <w:t>in light of</w:t>
            </w:r>
            <w:r w:rsidR="00B2011D" w:rsidRPr="003315F8">
              <w:rPr>
                <w:sz w:val="20"/>
                <w:szCs w:val="20"/>
              </w:rPr>
              <w:t xml:space="preserve"> the outcome of the </w:t>
            </w:r>
            <w:r w:rsidR="00900B64" w:rsidRPr="003315F8">
              <w:rPr>
                <w:sz w:val="20"/>
                <w:szCs w:val="20"/>
              </w:rPr>
              <w:t>review of Standard 2.9.4</w:t>
            </w:r>
            <w:r w:rsidR="00983E75" w:rsidRPr="003315F8">
              <w:rPr>
                <w:sz w:val="20"/>
                <w:szCs w:val="20"/>
              </w:rPr>
              <w:t xml:space="preserve"> (P1010)</w:t>
            </w:r>
            <w:r w:rsidR="00900B64" w:rsidRPr="003315F8">
              <w:rPr>
                <w:sz w:val="20"/>
                <w:szCs w:val="20"/>
              </w:rPr>
              <w:t>.</w:t>
            </w:r>
          </w:p>
        </w:tc>
      </w:tr>
      <w:tr w:rsidR="001A1C59" w:rsidRPr="00CC7857" w14:paraId="6C907D07" w14:textId="77777777" w:rsidTr="006A0AEE">
        <w:tc>
          <w:tcPr>
            <w:tcW w:w="2089" w:type="pct"/>
            <w:shd w:val="clear" w:color="auto" w:fill="auto"/>
          </w:tcPr>
          <w:p w14:paraId="5D16DC5D" w14:textId="2407120F" w:rsidR="001A1C59" w:rsidRPr="006A0AEE" w:rsidRDefault="003653C2" w:rsidP="004A11A6">
            <w:pPr>
              <w:widowControl/>
              <w:spacing w:before="120" w:after="120"/>
              <w:rPr>
                <w:sz w:val="20"/>
                <w:szCs w:val="20"/>
              </w:rPr>
            </w:pPr>
            <w:r w:rsidRPr="006A0AEE">
              <w:rPr>
                <w:sz w:val="20"/>
                <w:szCs w:val="20"/>
              </w:rPr>
              <w:t xml:space="preserve">Clarify whether caffeine can be added to </w:t>
            </w:r>
            <w:r w:rsidR="004B2047">
              <w:rPr>
                <w:sz w:val="20"/>
                <w:szCs w:val="20"/>
              </w:rPr>
              <w:t>electrolyte drinks</w:t>
            </w:r>
            <w:r w:rsidRPr="006A0AEE">
              <w:rPr>
                <w:sz w:val="20"/>
                <w:szCs w:val="20"/>
              </w:rPr>
              <w:t xml:space="preserve">, as it is specifically prohibited in formulated beverages which </w:t>
            </w:r>
            <w:r w:rsidR="006A0AEE" w:rsidRPr="006A0AEE">
              <w:rPr>
                <w:sz w:val="20"/>
                <w:szCs w:val="20"/>
              </w:rPr>
              <w:t xml:space="preserve">regulates </w:t>
            </w:r>
            <w:r w:rsidR="0021182E" w:rsidRPr="006A0AEE">
              <w:rPr>
                <w:sz w:val="20"/>
                <w:szCs w:val="20"/>
              </w:rPr>
              <w:t>similarly presented no sugar products</w:t>
            </w:r>
            <w:r w:rsidR="008148E9">
              <w:rPr>
                <w:sz w:val="20"/>
                <w:szCs w:val="20"/>
              </w:rPr>
              <w:t xml:space="preserve"> such as</w:t>
            </w:r>
            <w:r w:rsidR="0021182E" w:rsidRPr="006A0AEE">
              <w:rPr>
                <w:sz w:val="20"/>
                <w:szCs w:val="20"/>
              </w:rPr>
              <w:t xml:space="preserve"> </w:t>
            </w:r>
            <w:r w:rsidR="006A0AEE" w:rsidRPr="006A0AEE">
              <w:rPr>
                <w:sz w:val="20"/>
                <w:szCs w:val="20"/>
              </w:rPr>
              <w:t>activ</w:t>
            </w:r>
            <w:r w:rsidR="004A11A6">
              <w:rPr>
                <w:sz w:val="20"/>
                <w:szCs w:val="20"/>
              </w:rPr>
              <w:t>e</w:t>
            </w:r>
            <w:r w:rsidR="006A0AEE" w:rsidRPr="006A0AEE">
              <w:rPr>
                <w:sz w:val="20"/>
                <w:szCs w:val="20"/>
              </w:rPr>
              <w:t xml:space="preserve"> waters</w:t>
            </w:r>
            <w:r w:rsidRPr="006A0AEE">
              <w:rPr>
                <w:sz w:val="20"/>
                <w:szCs w:val="20"/>
              </w:rPr>
              <w:t>.</w:t>
            </w:r>
          </w:p>
        </w:tc>
        <w:tc>
          <w:tcPr>
            <w:tcW w:w="990" w:type="pct"/>
            <w:shd w:val="clear" w:color="auto" w:fill="auto"/>
          </w:tcPr>
          <w:p w14:paraId="5110B493" w14:textId="74C197D0" w:rsidR="001A1C59" w:rsidRPr="006A0AEE" w:rsidRDefault="00C87C11" w:rsidP="00424BD1">
            <w:pPr>
              <w:widowControl/>
              <w:spacing w:before="120" w:after="120"/>
              <w:rPr>
                <w:sz w:val="20"/>
                <w:szCs w:val="20"/>
              </w:rPr>
            </w:pPr>
            <w:r>
              <w:rPr>
                <w:sz w:val="20"/>
                <w:szCs w:val="20"/>
              </w:rPr>
              <w:t>Jurisdictions</w:t>
            </w:r>
          </w:p>
        </w:tc>
        <w:tc>
          <w:tcPr>
            <w:tcW w:w="1921" w:type="pct"/>
            <w:shd w:val="clear" w:color="auto" w:fill="auto"/>
          </w:tcPr>
          <w:p w14:paraId="08EC4E9C" w14:textId="0EADDEF5" w:rsidR="001A1C59" w:rsidRPr="006A0AEE" w:rsidRDefault="00C8162E" w:rsidP="00B911DD">
            <w:pPr>
              <w:widowControl/>
              <w:spacing w:before="120" w:after="120"/>
              <w:rPr>
                <w:rFonts w:cs="Arial"/>
                <w:sz w:val="20"/>
                <w:szCs w:val="20"/>
              </w:rPr>
            </w:pPr>
            <w:r w:rsidRPr="006A0AEE">
              <w:rPr>
                <w:rFonts w:cs="Arial"/>
                <w:sz w:val="20"/>
                <w:szCs w:val="20"/>
                <w:lang w:val="en-AU"/>
              </w:rPr>
              <w:t xml:space="preserve">Proposal P1056, to commence </w:t>
            </w:r>
            <w:r w:rsidR="00B2343B" w:rsidRPr="006A0AEE">
              <w:rPr>
                <w:rFonts w:cs="Arial"/>
                <w:sz w:val="20"/>
                <w:szCs w:val="20"/>
                <w:lang w:val="en-AU"/>
              </w:rPr>
              <w:t>mid-2021</w:t>
            </w:r>
            <w:r w:rsidRPr="006A0AEE">
              <w:rPr>
                <w:rFonts w:cs="Arial"/>
                <w:sz w:val="20"/>
                <w:szCs w:val="20"/>
                <w:lang w:val="en-AU"/>
              </w:rPr>
              <w:t xml:space="preserve">, will review the permissions for caffeine </w:t>
            </w:r>
            <w:r w:rsidR="006A0AEE" w:rsidRPr="006A0AEE">
              <w:rPr>
                <w:rFonts w:cs="Arial"/>
                <w:sz w:val="20"/>
                <w:szCs w:val="20"/>
                <w:lang w:val="en-AU"/>
              </w:rPr>
              <w:t>generally</w:t>
            </w:r>
            <w:r w:rsidR="00B911DD">
              <w:rPr>
                <w:rFonts w:cs="Arial"/>
                <w:sz w:val="20"/>
                <w:szCs w:val="20"/>
                <w:lang w:val="en-AU"/>
              </w:rPr>
              <w:t>,</w:t>
            </w:r>
            <w:r w:rsidR="006A0AEE" w:rsidRPr="006A0AEE">
              <w:rPr>
                <w:rFonts w:cs="Arial"/>
                <w:sz w:val="20"/>
                <w:szCs w:val="20"/>
                <w:lang w:val="en-AU"/>
              </w:rPr>
              <w:t xml:space="preserve"> including </w:t>
            </w:r>
            <w:r w:rsidR="00B911DD">
              <w:rPr>
                <w:rFonts w:cs="Arial"/>
                <w:sz w:val="20"/>
                <w:szCs w:val="20"/>
                <w:lang w:val="en-AU"/>
              </w:rPr>
              <w:t xml:space="preserve">the addition of caffeine to </w:t>
            </w:r>
            <w:r w:rsidRPr="006A0AEE">
              <w:rPr>
                <w:rFonts w:cs="Arial"/>
                <w:sz w:val="20"/>
                <w:szCs w:val="20"/>
                <w:lang w:val="en-AU"/>
              </w:rPr>
              <w:t>sports foods (</w:t>
            </w:r>
            <w:r w:rsidR="006A0AEE" w:rsidRPr="006A0AEE">
              <w:rPr>
                <w:rFonts w:cs="Arial"/>
                <w:sz w:val="20"/>
                <w:szCs w:val="20"/>
                <w:lang w:val="en-AU"/>
              </w:rPr>
              <w:t>and</w:t>
            </w:r>
            <w:r w:rsidRPr="006A0AEE">
              <w:rPr>
                <w:rFonts w:cs="Arial"/>
                <w:sz w:val="20"/>
                <w:szCs w:val="20"/>
                <w:lang w:val="en-AU"/>
              </w:rPr>
              <w:t xml:space="preserve"> </w:t>
            </w:r>
            <w:r w:rsidR="004B2047">
              <w:rPr>
                <w:rFonts w:cs="Arial"/>
                <w:sz w:val="20"/>
                <w:szCs w:val="20"/>
                <w:lang w:val="en-AU"/>
              </w:rPr>
              <w:t>electrolyte drink</w:t>
            </w:r>
            <w:r w:rsidR="004B2047" w:rsidRPr="006A0AEE">
              <w:rPr>
                <w:rFonts w:cs="Arial"/>
                <w:sz w:val="20"/>
                <w:szCs w:val="20"/>
                <w:lang w:val="en-AU"/>
              </w:rPr>
              <w:t>s</w:t>
            </w:r>
            <w:r w:rsidRPr="006A0AEE">
              <w:rPr>
                <w:rFonts w:cs="Arial"/>
                <w:sz w:val="20"/>
                <w:szCs w:val="20"/>
                <w:lang w:val="en-AU"/>
              </w:rPr>
              <w:t>)</w:t>
            </w:r>
            <w:r w:rsidR="00B911DD">
              <w:rPr>
                <w:rFonts w:cs="Arial"/>
                <w:sz w:val="20"/>
                <w:szCs w:val="20"/>
                <w:lang w:val="en-AU"/>
              </w:rPr>
              <w:t>;</w:t>
            </w:r>
            <w:r w:rsidRPr="006A0AEE">
              <w:rPr>
                <w:rFonts w:cs="Arial"/>
                <w:sz w:val="20"/>
                <w:szCs w:val="20"/>
                <w:lang w:val="en-AU"/>
              </w:rPr>
              <w:t xml:space="preserve"> and consider the risk </w:t>
            </w:r>
            <w:r w:rsidR="00B911DD">
              <w:rPr>
                <w:rFonts w:cs="Arial"/>
                <w:sz w:val="20"/>
                <w:szCs w:val="20"/>
                <w:lang w:val="en-AU"/>
              </w:rPr>
              <w:t xml:space="preserve">that </w:t>
            </w:r>
            <w:r w:rsidR="006A0AEE" w:rsidRPr="006A0AEE">
              <w:rPr>
                <w:rFonts w:cs="Arial"/>
                <w:sz w:val="20"/>
                <w:szCs w:val="20"/>
                <w:lang w:val="en-AU"/>
              </w:rPr>
              <w:t>caffeine</w:t>
            </w:r>
            <w:r w:rsidRPr="006A0AEE">
              <w:rPr>
                <w:rFonts w:cs="Arial"/>
                <w:sz w:val="20"/>
                <w:szCs w:val="20"/>
                <w:lang w:val="en-AU"/>
              </w:rPr>
              <w:t xml:space="preserve"> poses to sensitive sub-populations.</w:t>
            </w:r>
          </w:p>
        </w:tc>
      </w:tr>
      <w:tr w:rsidR="00266072" w:rsidRPr="00CC7857" w14:paraId="736A46C2" w14:textId="77777777" w:rsidTr="00424BD1">
        <w:tc>
          <w:tcPr>
            <w:tcW w:w="2089" w:type="pct"/>
            <w:shd w:val="clear" w:color="auto" w:fill="FBD4B4" w:themeFill="accent6" w:themeFillTint="66"/>
          </w:tcPr>
          <w:p w14:paraId="68872319" w14:textId="77777777" w:rsidR="00266072" w:rsidRPr="00CC7857" w:rsidRDefault="00266072" w:rsidP="00424BD1">
            <w:pPr>
              <w:widowControl/>
              <w:spacing w:before="120" w:after="120"/>
              <w:rPr>
                <w:b/>
                <w:sz w:val="20"/>
                <w:szCs w:val="20"/>
              </w:rPr>
            </w:pPr>
            <w:r w:rsidRPr="00CC7857">
              <w:rPr>
                <w:b/>
                <w:sz w:val="20"/>
                <w:szCs w:val="20"/>
              </w:rPr>
              <w:t>Scientific Rigor</w:t>
            </w:r>
          </w:p>
        </w:tc>
        <w:tc>
          <w:tcPr>
            <w:tcW w:w="990" w:type="pct"/>
            <w:shd w:val="clear" w:color="auto" w:fill="FBD4B4" w:themeFill="accent6" w:themeFillTint="66"/>
          </w:tcPr>
          <w:p w14:paraId="235A68E0" w14:textId="77777777" w:rsidR="00266072" w:rsidRPr="00CC7857" w:rsidRDefault="00266072" w:rsidP="00424BD1">
            <w:pPr>
              <w:widowControl/>
              <w:spacing w:before="120" w:after="120"/>
              <w:rPr>
                <w:sz w:val="20"/>
                <w:szCs w:val="20"/>
              </w:rPr>
            </w:pPr>
          </w:p>
        </w:tc>
        <w:tc>
          <w:tcPr>
            <w:tcW w:w="1921" w:type="pct"/>
            <w:shd w:val="clear" w:color="auto" w:fill="FBD4B4" w:themeFill="accent6" w:themeFillTint="66"/>
          </w:tcPr>
          <w:p w14:paraId="5E761757" w14:textId="77777777" w:rsidR="00266072" w:rsidRPr="00CC7857" w:rsidRDefault="00266072" w:rsidP="00424BD1">
            <w:pPr>
              <w:widowControl/>
              <w:spacing w:before="120" w:after="120"/>
              <w:rPr>
                <w:sz w:val="20"/>
                <w:szCs w:val="20"/>
              </w:rPr>
            </w:pPr>
          </w:p>
        </w:tc>
      </w:tr>
      <w:tr w:rsidR="00266072" w:rsidRPr="00CC7857" w14:paraId="1E74F39F" w14:textId="77777777" w:rsidTr="00424BD1">
        <w:tc>
          <w:tcPr>
            <w:tcW w:w="2089" w:type="pct"/>
          </w:tcPr>
          <w:p w14:paraId="4F297EBB" w14:textId="550CE258" w:rsidR="00266072" w:rsidRPr="00CC7857" w:rsidRDefault="00266072" w:rsidP="00424BD1">
            <w:pPr>
              <w:widowControl/>
              <w:spacing w:before="120" w:after="120"/>
              <w:rPr>
                <w:b/>
                <w:sz w:val="20"/>
                <w:szCs w:val="20"/>
              </w:rPr>
            </w:pPr>
            <w:r w:rsidRPr="00CC7857">
              <w:rPr>
                <w:sz w:val="20"/>
                <w:szCs w:val="20"/>
              </w:rPr>
              <w:lastRenderedPageBreak/>
              <w:t>Current scientific evidence should be reviewed and applied as appropriate to the</w:t>
            </w:r>
            <w:r w:rsidR="00F30226">
              <w:rPr>
                <w:sz w:val="20"/>
                <w:szCs w:val="20"/>
              </w:rPr>
              <w:t xml:space="preserve"> electrolyte drink </w:t>
            </w:r>
            <w:r w:rsidRPr="00CC7857">
              <w:rPr>
                <w:sz w:val="20"/>
                <w:szCs w:val="20"/>
              </w:rPr>
              <w:t xml:space="preserve">standard to both the compositional requirements and substantiation of any permitted claims to support the food-health relationship and to ensure transparency. </w:t>
            </w:r>
          </w:p>
        </w:tc>
        <w:tc>
          <w:tcPr>
            <w:tcW w:w="990" w:type="pct"/>
          </w:tcPr>
          <w:p w14:paraId="05EFA853" w14:textId="0F9BD91F" w:rsidR="00266072" w:rsidRPr="00CC7857" w:rsidRDefault="00C87C11" w:rsidP="00C87C11">
            <w:pPr>
              <w:widowControl/>
              <w:spacing w:before="120" w:after="120"/>
              <w:rPr>
                <w:sz w:val="20"/>
                <w:szCs w:val="20"/>
              </w:rPr>
            </w:pPr>
            <w:r>
              <w:rPr>
                <w:sz w:val="20"/>
                <w:szCs w:val="20"/>
              </w:rPr>
              <w:t>Jurisdictions</w:t>
            </w:r>
            <w:r w:rsidR="003A46A7" w:rsidRPr="00CC7857">
              <w:rPr>
                <w:sz w:val="20"/>
                <w:szCs w:val="20"/>
              </w:rPr>
              <w:t>, Public health</w:t>
            </w:r>
            <w:r>
              <w:rPr>
                <w:sz w:val="20"/>
                <w:szCs w:val="20"/>
              </w:rPr>
              <w:t>, Health</w:t>
            </w:r>
            <w:r w:rsidR="003A46A7" w:rsidRPr="00CC7857">
              <w:rPr>
                <w:sz w:val="20"/>
                <w:szCs w:val="20"/>
              </w:rPr>
              <w:t xml:space="preserve"> professionals</w:t>
            </w:r>
          </w:p>
        </w:tc>
        <w:tc>
          <w:tcPr>
            <w:tcW w:w="1921" w:type="pct"/>
          </w:tcPr>
          <w:p w14:paraId="56192A34" w14:textId="0C2367B9" w:rsidR="00266072" w:rsidRPr="00CC7857" w:rsidRDefault="003E33AA">
            <w:pPr>
              <w:widowControl/>
              <w:spacing w:before="120" w:after="120"/>
              <w:rPr>
                <w:sz w:val="20"/>
                <w:szCs w:val="20"/>
              </w:rPr>
            </w:pPr>
            <w:r w:rsidRPr="009C021C">
              <w:rPr>
                <w:sz w:val="20"/>
                <w:szCs w:val="20"/>
              </w:rPr>
              <w:t>FSANZ reviewed the available scientific evidence following the release of the CFS and receipt of submissions. For the reasons set out in this paper, FSANZ has now modified the approach</w:t>
            </w:r>
            <w:r w:rsidR="0072239B">
              <w:rPr>
                <w:sz w:val="20"/>
                <w:szCs w:val="20"/>
              </w:rPr>
              <w:t xml:space="preserve"> and</w:t>
            </w:r>
            <w:r w:rsidRPr="009C021C">
              <w:rPr>
                <w:sz w:val="20"/>
                <w:szCs w:val="20"/>
              </w:rPr>
              <w:t xml:space="preserve"> now includes changes to carbohydrate composition</w:t>
            </w:r>
            <w:r w:rsidR="0072239B">
              <w:rPr>
                <w:sz w:val="20"/>
                <w:szCs w:val="20"/>
              </w:rPr>
              <w:t xml:space="preserve">, </w:t>
            </w:r>
            <w:r w:rsidRPr="009C021C">
              <w:rPr>
                <w:sz w:val="20"/>
                <w:szCs w:val="20"/>
              </w:rPr>
              <w:t>and a prohibition and restrictions on claims that may be made about electrolyte drinks.</w:t>
            </w:r>
            <w:r>
              <w:t xml:space="preserve"> </w:t>
            </w:r>
            <w:r w:rsidR="008148E9">
              <w:rPr>
                <w:sz w:val="20"/>
                <w:szCs w:val="20"/>
              </w:rPr>
              <w:t xml:space="preserve">The evidence </w:t>
            </w:r>
            <w:r w:rsidR="004A5F3C">
              <w:rPr>
                <w:sz w:val="20"/>
                <w:szCs w:val="20"/>
              </w:rPr>
              <w:t xml:space="preserve">underpinning the proposed changes </w:t>
            </w:r>
            <w:r w:rsidR="008148E9">
              <w:rPr>
                <w:sz w:val="20"/>
                <w:szCs w:val="20"/>
              </w:rPr>
              <w:t xml:space="preserve">is given in </w:t>
            </w:r>
            <w:r w:rsidR="003866C5">
              <w:rPr>
                <w:sz w:val="20"/>
                <w:szCs w:val="20"/>
              </w:rPr>
              <w:t>S</w:t>
            </w:r>
            <w:r w:rsidR="008148E9">
              <w:rPr>
                <w:sz w:val="20"/>
                <w:szCs w:val="20"/>
              </w:rPr>
              <w:t>ection</w:t>
            </w:r>
            <w:r w:rsidR="00242D2D">
              <w:rPr>
                <w:sz w:val="20"/>
                <w:szCs w:val="20"/>
              </w:rPr>
              <w:t>s</w:t>
            </w:r>
            <w:r w:rsidR="008148E9">
              <w:rPr>
                <w:sz w:val="20"/>
                <w:szCs w:val="20"/>
              </w:rPr>
              <w:t xml:space="preserve"> 2.2. </w:t>
            </w:r>
            <w:r>
              <w:rPr>
                <w:sz w:val="20"/>
                <w:szCs w:val="20"/>
              </w:rPr>
              <w:t xml:space="preserve">and 2.3 </w:t>
            </w:r>
            <w:r w:rsidR="003866C5">
              <w:rPr>
                <w:sz w:val="20"/>
                <w:szCs w:val="20"/>
              </w:rPr>
              <w:t xml:space="preserve">of this </w:t>
            </w:r>
            <w:r w:rsidR="00417F12">
              <w:rPr>
                <w:sz w:val="20"/>
                <w:szCs w:val="20"/>
              </w:rPr>
              <w:t>C</w:t>
            </w:r>
            <w:r w:rsidR="003866C5">
              <w:rPr>
                <w:sz w:val="20"/>
                <w:szCs w:val="20"/>
              </w:rPr>
              <w:t xml:space="preserve">onsultation paper </w:t>
            </w:r>
            <w:r w:rsidR="008148E9">
              <w:rPr>
                <w:sz w:val="20"/>
                <w:szCs w:val="20"/>
              </w:rPr>
              <w:t>and SD1.</w:t>
            </w:r>
          </w:p>
        </w:tc>
      </w:tr>
      <w:tr w:rsidR="00266072" w:rsidRPr="00CC7857" w14:paraId="71C9E9E4" w14:textId="77777777" w:rsidTr="004E00E6">
        <w:tc>
          <w:tcPr>
            <w:tcW w:w="5000" w:type="pct"/>
            <w:gridSpan w:val="3"/>
            <w:shd w:val="clear" w:color="auto" w:fill="CCC0D9" w:themeFill="accent4" w:themeFillTint="66"/>
          </w:tcPr>
          <w:p w14:paraId="07B2CF5D" w14:textId="77777777" w:rsidR="00266072" w:rsidRPr="00CC7857" w:rsidRDefault="00266072" w:rsidP="00424BD1">
            <w:pPr>
              <w:widowControl/>
              <w:spacing w:before="120" w:after="120"/>
              <w:rPr>
                <w:b/>
                <w:sz w:val="20"/>
                <w:szCs w:val="20"/>
              </w:rPr>
            </w:pPr>
            <w:r w:rsidRPr="00CC7857">
              <w:rPr>
                <w:b/>
                <w:sz w:val="20"/>
                <w:szCs w:val="20"/>
              </w:rPr>
              <w:t>Public Health</w:t>
            </w:r>
          </w:p>
        </w:tc>
      </w:tr>
      <w:tr w:rsidR="00266072" w:rsidRPr="00CC7857" w14:paraId="35CD9B13" w14:textId="77777777" w:rsidTr="00424BD1">
        <w:tc>
          <w:tcPr>
            <w:tcW w:w="2089" w:type="pct"/>
          </w:tcPr>
          <w:p w14:paraId="7CB8806D" w14:textId="454EECBD" w:rsidR="001429B2" w:rsidRPr="00F93091" w:rsidRDefault="00F93091" w:rsidP="00F93091">
            <w:pPr>
              <w:spacing w:before="120"/>
              <w:rPr>
                <w:sz w:val="20"/>
                <w:szCs w:val="20"/>
              </w:rPr>
            </w:pPr>
            <w:r>
              <w:rPr>
                <w:sz w:val="20"/>
                <w:szCs w:val="20"/>
              </w:rPr>
              <w:t xml:space="preserve">The </w:t>
            </w:r>
            <w:r w:rsidR="0064746C">
              <w:rPr>
                <w:sz w:val="20"/>
                <w:szCs w:val="20"/>
              </w:rPr>
              <w:t>p</w:t>
            </w:r>
            <w:r w:rsidR="001429B2" w:rsidRPr="00F93091">
              <w:rPr>
                <w:sz w:val="20"/>
                <w:szCs w:val="20"/>
              </w:rPr>
              <w:t>roposal is inconsistent with the primary objective of the FSANZ Act and requires further assessment</w:t>
            </w:r>
            <w:r>
              <w:rPr>
                <w:sz w:val="20"/>
                <w:szCs w:val="20"/>
              </w:rPr>
              <w:t>.</w:t>
            </w:r>
          </w:p>
          <w:p w14:paraId="281BD07D" w14:textId="77777777" w:rsidR="001429B2" w:rsidRDefault="001429B2" w:rsidP="00242D2D">
            <w:pPr>
              <w:pStyle w:val="ListParagraph"/>
              <w:ind w:left="360"/>
              <w:rPr>
                <w:sz w:val="20"/>
                <w:szCs w:val="20"/>
              </w:rPr>
            </w:pPr>
          </w:p>
          <w:p w14:paraId="41067E1D" w14:textId="10D8CF6E" w:rsidR="001429B2" w:rsidRPr="00F93091" w:rsidRDefault="00242D2D" w:rsidP="00F93091">
            <w:pPr>
              <w:rPr>
                <w:sz w:val="20"/>
                <w:szCs w:val="20"/>
              </w:rPr>
            </w:pPr>
            <w:r w:rsidRPr="00F93091">
              <w:rPr>
                <w:sz w:val="20"/>
                <w:szCs w:val="20"/>
              </w:rPr>
              <w:t>E</w:t>
            </w:r>
            <w:r w:rsidR="001429B2" w:rsidRPr="00F93091">
              <w:rPr>
                <w:sz w:val="20"/>
                <w:szCs w:val="20"/>
              </w:rPr>
              <w:t>lectrolyte drinks are sugar sweetened beverages</w:t>
            </w:r>
            <w:r w:rsidR="00F93091">
              <w:rPr>
                <w:sz w:val="20"/>
                <w:szCs w:val="20"/>
              </w:rPr>
              <w:t xml:space="preserve"> and their </w:t>
            </w:r>
            <w:r w:rsidR="00266072" w:rsidRPr="00F93091">
              <w:rPr>
                <w:sz w:val="20"/>
                <w:szCs w:val="20"/>
              </w:rPr>
              <w:t>consumption is associated with adverse health outcomes including obesity, dental erosion and increased blood pressure.</w:t>
            </w:r>
          </w:p>
          <w:p w14:paraId="01BA307D" w14:textId="77777777" w:rsidR="001429B2" w:rsidRDefault="001429B2" w:rsidP="00242D2D">
            <w:pPr>
              <w:pStyle w:val="ListParagraph"/>
              <w:spacing w:before="120" w:after="120"/>
              <w:ind w:left="360"/>
              <w:rPr>
                <w:sz w:val="20"/>
                <w:szCs w:val="20"/>
              </w:rPr>
            </w:pPr>
          </w:p>
          <w:p w14:paraId="3CFF1F6D" w14:textId="62CE4BCE" w:rsidR="00F93091" w:rsidRDefault="00F93091" w:rsidP="00F93091">
            <w:pPr>
              <w:spacing w:before="120" w:after="120"/>
              <w:rPr>
                <w:sz w:val="20"/>
                <w:szCs w:val="20"/>
              </w:rPr>
            </w:pPr>
          </w:p>
          <w:p w14:paraId="6A1EB820" w14:textId="0178FA03" w:rsidR="00266072" w:rsidRPr="00F93091" w:rsidRDefault="00266072" w:rsidP="00F93091">
            <w:pPr>
              <w:spacing w:before="120" w:after="120"/>
              <w:rPr>
                <w:sz w:val="20"/>
                <w:szCs w:val="20"/>
              </w:rPr>
            </w:pPr>
          </w:p>
        </w:tc>
        <w:tc>
          <w:tcPr>
            <w:tcW w:w="990" w:type="pct"/>
          </w:tcPr>
          <w:p w14:paraId="378A9DD5" w14:textId="2288741C" w:rsidR="00266072" w:rsidRPr="00CC7857" w:rsidRDefault="00242D2D" w:rsidP="00827E9E">
            <w:pPr>
              <w:widowControl/>
              <w:spacing w:before="120" w:after="120"/>
              <w:rPr>
                <w:sz w:val="20"/>
                <w:szCs w:val="20"/>
              </w:rPr>
            </w:pPr>
            <w:r>
              <w:rPr>
                <w:sz w:val="20"/>
                <w:szCs w:val="20"/>
              </w:rPr>
              <w:t xml:space="preserve">Jurisdictions, </w:t>
            </w:r>
            <w:r w:rsidR="00266072" w:rsidRPr="00CC7857">
              <w:rPr>
                <w:sz w:val="20"/>
                <w:szCs w:val="20"/>
              </w:rPr>
              <w:t>Public health</w:t>
            </w:r>
            <w:r w:rsidR="00C87C11">
              <w:rPr>
                <w:sz w:val="20"/>
                <w:szCs w:val="20"/>
              </w:rPr>
              <w:t>,</w:t>
            </w:r>
            <w:r w:rsidR="00266072" w:rsidRPr="00CC7857">
              <w:rPr>
                <w:sz w:val="20"/>
                <w:szCs w:val="20"/>
              </w:rPr>
              <w:t xml:space="preserve"> </w:t>
            </w:r>
            <w:r w:rsidR="00C87C11">
              <w:rPr>
                <w:sz w:val="20"/>
                <w:szCs w:val="20"/>
              </w:rPr>
              <w:t xml:space="preserve">Health </w:t>
            </w:r>
            <w:r w:rsidR="00266072" w:rsidRPr="00CC7857">
              <w:rPr>
                <w:sz w:val="20"/>
                <w:szCs w:val="20"/>
              </w:rPr>
              <w:t>professionals, academics, consumer groups and individuals</w:t>
            </w:r>
          </w:p>
        </w:tc>
        <w:tc>
          <w:tcPr>
            <w:tcW w:w="1921" w:type="pct"/>
          </w:tcPr>
          <w:p w14:paraId="5BD5D808" w14:textId="2DAC154C" w:rsidR="00537333" w:rsidRPr="00664E2A" w:rsidRDefault="00537333" w:rsidP="009C021C">
            <w:pPr>
              <w:widowControl/>
              <w:spacing w:before="120" w:after="120"/>
              <w:rPr>
                <w:rFonts w:cs="Arial"/>
                <w:sz w:val="20"/>
                <w:szCs w:val="20"/>
                <w:lang w:bidi="ar-SA"/>
              </w:rPr>
            </w:pPr>
            <w:r w:rsidRPr="009D2F52">
              <w:rPr>
                <w:rFonts w:cs="Arial"/>
                <w:sz w:val="20"/>
                <w:szCs w:val="20"/>
                <w:lang w:eastAsia="en-AU"/>
              </w:rPr>
              <w:t xml:space="preserve">The consumption of electrolyte drinks represents a small proportion of the total consumption of sugar sweetened beverages. Nonetheless, </w:t>
            </w:r>
            <w:r w:rsidRPr="009D2F52">
              <w:rPr>
                <w:rFonts w:cs="Arial"/>
                <w:sz w:val="20"/>
                <w:szCs w:val="20"/>
              </w:rPr>
              <w:t>FSANZ recognises sugar sweetened beverages are a contributing factor to adverse health outcomes. The proposed amendment to reduce the minimum carbohydrate (sugars) requirement from 5% to 2% will allow manufacturers to provide consumers with healthier electrolyte drink options than those currently available which means a reduced sugar intake for those consumers who opt for the lower sugar product.</w:t>
            </w:r>
            <w:r w:rsidRPr="009D2F52">
              <w:rPr>
                <w:rFonts w:cs="Arial"/>
                <w:sz w:val="20"/>
                <w:szCs w:val="20"/>
                <w:lang w:bidi="ar-SA"/>
              </w:rPr>
              <w:t xml:space="preserve"> </w:t>
            </w:r>
            <w:r w:rsidRPr="009D2F52">
              <w:rPr>
                <w:rFonts w:cs="Arial"/>
                <w:sz w:val="20"/>
                <w:szCs w:val="20"/>
              </w:rPr>
              <w:t>In addition, the proposed prohibition on health claims, other than three specific claims which will require a reference to effects occurring during strenuous physical activity fo</w:t>
            </w:r>
            <w:r w:rsidR="00503F6B">
              <w:rPr>
                <w:rFonts w:cs="Arial"/>
                <w:sz w:val="20"/>
                <w:szCs w:val="20"/>
              </w:rPr>
              <w:t xml:space="preserve">r a minimum time period </w:t>
            </w:r>
            <w:r w:rsidRPr="009D2F52">
              <w:rPr>
                <w:rFonts w:cs="Arial"/>
                <w:sz w:val="20"/>
                <w:szCs w:val="20"/>
              </w:rPr>
              <w:t>will better assist consumers to make informed choices by providing clarity for both target and non-target consumers to more clearly identify both the intended purpose and the</w:t>
            </w:r>
            <w:r w:rsidR="009D2F52">
              <w:rPr>
                <w:rFonts w:cs="Arial"/>
                <w:sz w:val="20"/>
                <w:szCs w:val="20"/>
              </w:rPr>
              <w:t xml:space="preserve"> intended</w:t>
            </w:r>
            <w:r w:rsidRPr="009D2F52">
              <w:rPr>
                <w:rFonts w:cs="Arial"/>
                <w:sz w:val="20"/>
                <w:szCs w:val="20"/>
              </w:rPr>
              <w:t xml:space="preserve"> end user of these products. </w:t>
            </w:r>
            <w:r w:rsidR="008A478A" w:rsidRPr="008A478A">
              <w:rPr>
                <w:sz w:val="20"/>
                <w:szCs w:val="20"/>
              </w:rPr>
              <w:t>These amendments are considered consistent with FSANZ’s objective and reflect current public health policy.</w:t>
            </w:r>
          </w:p>
        </w:tc>
      </w:tr>
      <w:tr w:rsidR="00AC481A" w:rsidRPr="00CC7857" w14:paraId="54213BBE" w14:textId="77777777" w:rsidTr="00E26384">
        <w:trPr>
          <w:trHeight w:val="218"/>
        </w:trPr>
        <w:tc>
          <w:tcPr>
            <w:tcW w:w="2089" w:type="pct"/>
          </w:tcPr>
          <w:p w14:paraId="7DDBC3B5" w14:textId="56ED52D5" w:rsidR="00AC481A" w:rsidRPr="00CC7857" w:rsidRDefault="00AC481A" w:rsidP="00424BD1">
            <w:pPr>
              <w:widowControl/>
              <w:spacing w:before="120" w:after="120"/>
              <w:rPr>
                <w:sz w:val="20"/>
                <w:szCs w:val="20"/>
              </w:rPr>
            </w:pPr>
            <w:r w:rsidRPr="00CC7857">
              <w:rPr>
                <w:sz w:val="20"/>
                <w:szCs w:val="20"/>
              </w:rPr>
              <w:t>Permitting health claims on</w:t>
            </w:r>
            <w:r w:rsidR="00F30226">
              <w:rPr>
                <w:sz w:val="20"/>
                <w:szCs w:val="20"/>
              </w:rPr>
              <w:t xml:space="preserve"> electrolyte drinks </w:t>
            </w:r>
            <w:r w:rsidRPr="00CC7857">
              <w:rPr>
                <w:sz w:val="20"/>
                <w:szCs w:val="20"/>
              </w:rPr>
              <w:t xml:space="preserve">is viewed as promoting consumption of </w:t>
            </w:r>
            <w:r w:rsidR="00545625">
              <w:rPr>
                <w:sz w:val="20"/>
                <w:szCs w:val="20"/>
              </w:rPr>
              <w:t>electrolyte drink</w:t>
            </w:r>
            <w:r w:rsidRPr="00CC7857">
              <w:rPr>
                <w:sz w:val="20"/>
                <w:szCs w:val="20"/>
              </w:rPr>
              <w:t>s</w:t>
            </w:r>
            <w:r>
              <w:rPr>
                <w:sz w:val="20"/>
                <w:szCs w:val="20"/>
              </w:rPr>
              <w:t xml:space="preserve">, </w:t>
            </w:r>
            <w:r w:rsidR="00F93091" w:rsidRPr="000F5C2B">
              <w:rPr>
                <w:sz w:val="20"/>
                <w:szCs w:val="20"/>
              </w:rPr>
              <w:t>will mislead consumers into thinking that such claims are a healthier option than other sugar sweetened beverages</w:t>
            </w:r>
            <w:r w:rsidR="00F93091">
              <w:rPr>
                <w:sz w:val="20"/>
                <w:szCs w:val="20"/>
              </w:rPr>
              <w:t xml:space="preserve">, and is </w:t>
            </w:r>
            <w:r w:rsidRPr="00CC7857">
              <w:rPr>
                <w:sz w:val="20"/>
                <w:szCs w:val="20"/>
              </w:rPr>
              <w:t xml:space="preserve">inconsistent with national population-based nutrition guidelines and general healthy eating advice. </w:t>
            </w:r>
          </w:p>
          <w:p w14:paraId="72EFE51F" w14:textId="24013B0A" w:rsidR="00AC481A" w:rsidRPr="00CC7857" w:rsidRDefault="00AC481A" w:rsidP="00AC481A">
            <w:pPr>
              <w:widowControl/>
              <w:spacing w:before="120" w:after="120"/>
              <w:rPr>
                <w:sz w:val="20"/>
                <w:szCs w:val="20"/>
              </w:rPr>
            </w:pPr>
            <w:r w:rsidRPr="00CC7857">
              <w:rPr>
                <w:sz w:val="20"/>
                <w:szCs w:val="20"/>
              </w:rPr>
              <w:t>Health claims on</w:t>
            </w:r>
            <w:r w:rsidR="00F30226">
              <w:rPr>
                <w:sz w:val="20"/>
                <w:szCs w:val="20"/>
              </w:rPr>
              <w:t xml:space="preserve"> electrolyte drinks </w:t>
            </w:r>
            <w:r w:rsidRPr="00CC7857">
              <w:rPr>
                <w:sz w:val="20"/>
                <w:szCs w:val="20"/>
              </w:rPr>
              <w:t>(will) create a ‘health halo’ effect by (further) validating the misconception of the health benefits of</w:t>
            </w:r>
            <w:r w:rsidR="00F30226">
              <w:rPr>
                <w:sz w:val="20"/>
                <w:szCs w:val="20"/>
              </w:rPr>
              <w:t xml:space="preserve"> electrolyte drinks </w:t>
            </w:r>
            <w:r w:rsidRPr="00CC7857">
              <w:rPr>
                <w:sz w:val="20"/>
                <w:szCs w:val="20"/>
              </w:rPr>
              <w:t>with consumers extending the claim beyond its intended purpose.</w:t>
            </w:r>
          </w:p>
          <w:p w14:paraId="2BC2FE85" w14:textId="1910DE3F" w:rsidR="00AC481A" w:rsidRPr="00CC7857" w:rsidRDefault="00AC481A" w:rsidP="00E03E15">
            <w:pPr>
              <w:spacing w:before="120" w:after="120"/>
              <w:rPr>
                <w:sz w:val="20"/>
                <w:szCs w:val="20"/>
              </w:rPr>
            </w:pPr>
            <w:r w:rsidRPr="00CC7857">
              <w:rPr>
                <w:sz w:val="20"/>
                <w:szCs w:val="20"/>
              </w:rPr>
              <w:t xml:space="preserve">Limited benefit and potential risk of misleading </w:t>
            </w:r>
            <w:r w:rsidR="00E03E15">
              <w:rPr>
                <w:sz w:val="20"/>
                <w:szCs w:val="20"/>
              </w:rPr>
              <w:t xml:space="preserve">health claims </w:t>
            </w:r>
            <w:r w:rsidRPr="00CC7857">
              <w:rPr>
                <w:sz w:val="20"/>
                <w:szCs w:val="20"/>
              </w:rPr>
              <w:t>that do not support informed consumer choice.</w:t>
            </w:r>
          </w:p>
        </w:tc>
        <w:tc>
          <w:tcPr>
            <w:tcW w:w="990" w:type="pct"/>
          </w:tcPr>
          <w:p w14:paraId="72AB0D41" w14:textId="61D2538D" w:rsidR="00AC481A" w:rsidRPr="00CC7857" w:rsidRDefault="00AC481A" w:rsidP="00AC481A">
            <w:pPr>
              <w:widowControl/>
              <w:spacing w:before="120" w:after="120"/>
              <w:rPr>
                <w:sz w:val="20"/>
                <w:szCs w:val="20"/>
              </w:rPr>
            </w:pPr>
            <w:r w:rsidRPr="00CC7857">
              <w:rPr>
                <w:sz w:val="20"/>
                <w:szCs w:val="20"/>
              </w:rPr>
              <w:t xml:space="preserve">Public health professionals, academics, consumer advocacy groups and individuals </w:t>
            </w:r>
          </w:p>
        </w:tc>
        <w:tc>
          <w:tcPr>
            <w:tcW w:w="1921" w:type="pct"/>
          </w:tcPr>
          <w:p w14:paraId="7DCE4761" w14:textId="630A80DE" w:rsidR="007E297D" w:rsidRDefault="00E03E15" w:rsidP="00C32F3A">
            <w:pPr>
              <w:widowControl/>
              <w:spacing w:before="120" w:after="120"/>
              <w:rPr>
                <w:sz w:val="20"/>
                <w:szCs w:val="20"/>
              </w:rPr>
            </w:pPr>
            <w:r>
              <w:rPr>
                <w:sz w:val="20"/>
                <w:szCs w:val="20"/>
              </w:rPr>
              <w:t xml:space="preserve">A health claim has specifically been permitted for electrolyte drinks since </w:t>
            </w:r>
            <w:r w:rsidR="00AC481A">
              <w:rPr>
                <w:sz w:val="20"/>
                <w:szCs w:val="20"/>
              </w:rPr>
              <w:t>the early 1990s</w:t>
            </w:r>
            <w:r w:rsidR="00AC481A" w:rsidRPr="00CC7857">
              <w:rPr>
                <w:sz w:val="20"/>
                <w:szCs w:val="20"/>
              </w:rPr>
              <w:t xml:space="preserve">. </w:t>
            </w:r>
          </w:p>
          <w:p w14:paraId="272867C2" w14:textId="1D1C05E3" w:rsidR="00AC481A" w:rsidRPr="00CC7857" w:rsidRDefault="00E26384" w:rsidP="00871B8A">
            <w:pPr>
              <w:widowControl/>
              <w:spacing w:before="120" w:after="120"/>
              <w:rPr>
                <w:sz w:val="20"/>
                <w:szCs w:val="20"/>
              </w:rPr>
            </w:pPr>
            <w:r w:rsidRPr="00E26384">
              <w:rPr>
                <w:sz w:val="20"/>
                <w:szCs w:val="20"/>
              </w:rPr>
              <w:t xml:space="preserve">Based on submitter responses and further consideration of the evidence, FSANZ is considering amending the draft variation to </w:t>
            </w:r>
            <w:r>
              <w:rPr>
                <w:sz w:val="20"/>
                <w:szCs w:val="20"/>
              </w:rPr>
              <w:t xml:space="preserve">prohibit health claims on electrolyte drinks other than three limited claims, </w:t>
            </w:r>
            <w:r w:rsidRPr="00E26384">
              <w:rPr>
                <w:sz w:val="20"/>
                <w:szCs w:val="20"/>
              </w:rPr>
              <w:t xml:space="preserve">and to require those limited claims to refer to </w:t>
            </w:r>
            <w:r>
              <w:rPr>
                <w:sz w:val="20"/>
                <w:szCs w:val="20"/>
              </w:rPr>
              <w:t xml:space="preserve">the </w:t>
            </w:r>
            <w:r w:rsidRPr="00E26384">
              <w:rPr>
                <w:sz w:val="20"/>
                <w:szCs w:val="20"/>
              </w:rPr>
              <w:t>effects occurring under conditions of strenuous physical activity for a minimum time period of 60 minutes</w:t>
            </w:r>
            <w:r w:rsidR="00871B8A">
              <w:rPr>
                <w:sz w:val="20"/>
                <w:szCs w:val="20"/>
              </w:rPr>
              <w:t xml:space="preserve"> to </w:t>
            </w:r>
            <w:r w:rsidR="00503F6B">
              <w:rPr>
                <w:sz w:val="20"/>
                <w:szCs w:val="20"/>
              </w:rPr>
              <w:t xml:space="preserve">assist </w:t>
            </w:r>
            <w:r w:rsidR="00871B8A">
              <w:rPr>
                <w:sz w:val="20"/>
                <w:szCs w:val="20"/>
              </w:rPr>
              <w:t>consumers to make better informed choices.</w:t>
            </w:r>
          </w:p>
        </w:tc>
      </w:tr>
      <w:tr w:rsidR="00266072" w:rsidRPr="00CC7857" w14:paraId="36AFB0B5" w14:textId="77777777" w:rsidTr="004E00E6">
        <w:tc>
          <w:tcPr>
            <w:tcW w:w="5000" w:type="pct"/>
            <w:gridSpan w:val="3"/>
            <w:shd w:val="clear" w:color="auto" w:fill="B6DDE8" w:themeFill="accent5" w:themeFillTint="66"/>
          </w:tcPr>
          <w:p w14:paraId="19FDBFB1" w14:textId="77777777" w:rsidR="00266072" w:rsidRPr="00CC7857" w:rsidRDefault="00266072" w:rsidP="00424BD1">
            <w:pPr>
              <w:widowControl/>
              <w:spacing w:before="120" w:after="120"/>
              <w:rPr>
                <w:b/>
                <w:sz w:val="20"/>
                <w:szCs w:val="20"/>
              </w:rPr>
            </w:pPr>
            <w:r w:rsidRPr="00CC7857">
              <w:rPr>
                <w:b/>
                <w:sz w:val="20"/>
                <w:szCs w:val="20"/>
              </w:rPr>
              <w:t xml:space="preserve">Consumption </w:t>
            </w:r>
          </w:p>
        </w:tc>
      </w:tr>
      <w:tr w:rsidR="00266072" w:rsidRPr="00CC7857" w14:paraId="75472650" w14:textId="77777777" w:rsidTr="00424BD1">
        <w:tc>
          <w:tcPr>
            <w:tcW w:w="2089" w:type="pct"/>
          </w:tcPr>
          <w:p w14:paraId="0D1AED91" w14:textId="5F4F4254" w:rsidR="00266072" w:rsidRPr="00CC7857" w:rsidRDefault="00266072" w:rsidP="00424BD1">
            <w:pPr>
              <w:widowControl/>
              <w:spacing w:before="120" w:after="120"/>
              <w:rPr>
                <w:sz w:val="20"/>
                <w:szCs w:val="20"/>
              </w:rPr>
            </w:pPr>
            <w:r w:rsidRPr="00CC7857">
              <w:rPr>
                <w:sz w:val="20"/>
                <w:szCs w:val="20"/>
              </w:rPr>
              <w:t>The marketing of</w:t>
            </w:r>
            <w:r w:rsidR="00F30226">
              <w:rPr>
                <w:sz w:val="20"/>
                <w:szCs w:val="20"/>
              </w:rPr>
              <w:t xml:space="preserve"> electrolyte drinks </w:t>
            </w:r>
            <w:r w:rsidRPr="00CC7857">
              <w:rPr>
                <w:sz w:val="20"/>
                <w:szCs w:val="20"/>
              </w:rPr>
              <w:t xml:space="preserve">to the general population and the availability and ease of access through sales at convenience stores, petrol stations and supermarkets, promotes inappropriate use by consumers (non-athletes, particularly children) and high levels of consumption which will increase. </w:t>
            </w:r>
          </w:p>
        </w:tc>
        <w:tc>
          <w:tcPr>
            <w:tcW w:w="990" w:type="pct"/>
          </w:tcPr>
          <w:p w14:paraId="5D189709" w14:textId="6B131308" w:rsidR="00266072" w:rsidRPr="00CC7857" w:rsidRDefault="00266072" w:rsidP="00424BD1">
            <w:pPr>
              <w:widowControl/>
              <w:spacing w:before="120" w:after="120"/>
              <w:rPr>
                <w:sz w:val="20"/>
                <w:szCs w:val="20"/>
              </w:rPr>
            </w:pPr>
            <w:r w:rsidRPr="00CC7857">
              <w:rPr>
                <w:sz w:val="20"/>
                <w:szCs w:val="20"/>
              </w:rPr>
              <w:t xml:space="preserve">Public Health, Consumer and Public Health Groups </w:t>
            </w:r>
          </w:p>
        </w:tc>
        <w:tc>
          <w:tcPr>
            <w:tcW w:w="1921" w:type="pct"/>
          </w:tcPr>
          <w:p w14:paraId="1367196D" w14:textId="24384F24" w:rsidR="00266072" w:rsidRPr="00CC7857" w:rsidRDefault="00212A22" w:rsidP="00E26384">
            <w:pPr>
              <w:widowControl/>
              <w:spacing w:before="120" w:after="120"/>
              <w:rPr>
                <w:sz w:val="20"/>
                <w:szCs w:val="20"/>
              </w:rPr>
            </w:pPr>
            <w:r>
              <w:rPr>
                <w:sz w:val="20"/>
                <w:szCs w:val="20"/>
              </w:rPr>
              <w:t>Proposed r</w:t>
            </w:r>
            <w:r w:rsidR="00CD2DCE">
              <w:rPr>
                <w:sz w:val="20"/>
                <w:szCs w:val="20"/>
              </w:rPr>
              <w:t xml:space="preserve">eduction in minimum </w:t>
            </w:r>
            <w:r w:rsidR="0052629D">
              <w:rPr>
                <w:sz w:val="20"/>
                <w:szCs w:val="20"/>
              </w:rPr>
              <w:t>carbohydrate</w:t>
            </w:r>
            <w:r w:rsidR="00CD2DCE">
              <w:rPr>
                <w:sz w:val="20"/>
                <w:szCs w:val="20"/>
              </w:rPr>
              <w:t xml:space="preserve"> </w:t>
            </w:r>
            <w:r w:rsidR="008148E9">
              <w:rPr>
                <w:sz w:val="20"/>
                <w:szCs w:val="20"/>
              </w:rPr>
              <w:t>level</w:t>
            </w:r>
            <w:r w:rsidR="006D7F68">
              <w:rPr>
                <w:sz w:val="20"/>
                <w:szCs w:val="20"/>
              </w:rPr>
              <w:t>s</w:t>
            </w:r>
            <w:r>
              <w:rPr>
                <w:sz w:val="20"/>
                <w:szCs w:val="20"/>
              </w:rPr>
              <w:t xml:space="preserve"> provides for lower </w:t>
            </w:r>
            <w:r w:rsidR="0052629D">
              <w:rPr>
                <w:sz w:val="20"/>
                <w:szCs w:val="20"/>
              </w:rPr>
              <w:t>carbohydrate</w:t>
            </w:r>
            <w:r>
              <w:rPr>
                <w:sz w:val="20"/>
                <w:szCs w:val="20"/>
              </w:rPr>
              <w:t xml:space="preserve"> options </w:t>
            </w:r>
            <w:r w:rsidR="00CD2DCE">
              <w:rPr>
                <w:sz w:val="20"/>
                <w:szCs w:val="20"/>
              </w:rPr>
              <w:t xml:space="preserve">and </w:t>
            </w:r>
            <w:r w:rsidR="002B5A13">
              <w:rPr>
                <w:sz w:val="20"/>
                <w:szCs w:val="20"/>
              </w:rPr>
              <w:t xml:space="preserve">the </w:t>
            </w:r>
            <w:r w:rsidR="00CD2DCE">
              <w:rPr>
                <w:sz w:val="20"/>
                <w:szCs w:val="20"/>
              </w:rPr>
              <w:t xml:space="preserve">reference to </w:t>
            </w:r>
            <w:r w:rsidR="00E26384" w:rsidRPr="00E26384">
              <w:rPr>
                <w:sz w:val="20"/>
                <w:szCs w:val="20"/>
              </w:rPr>
              <w:t xml:space="preserve">strenuous physical activity for a minimum time period of 60 minutes </w:t>
            </w:r>
            <w:r w:rsidR="00CD2DCE">
              <w:rPr>
                <w:sz w:val="20"/>
                <w:szCs w:val="20"/>
              </w:rPr>
              <w:t xml:space="preserve">in any claims </w:t>
            </w:r>
            <w:r w:rsidR="00E26384">
              <w:rPr>
                <w:sz w:val="20"/>
                <w:szCs w:val="20"/>
              </w:rPr>
              <w:t>is</w:t>
            </w:r>
            <w:r w:rsidR="001B0A57">
              <w:rPr>
                <w:sz w:val="20"/>
                <w:szCs w:val="20"/>
              </w:rPr>
              <w:t xml:space="preserve"> expected to </w:t>
            </w:r>
            <w:r w:rsidR="00CD2DCE">
              <w:rPr>
                <w:sz w:val="20"/>
                <w:szCs w:val="20"/>
              </w:rPr>
              <w:t>guide consumers to appropriate use</w:t>
            </w:r>
            <w:r w:rsidR="00C32F3A">
              <w:rPr>
                <w:sz w:val="20"/>
                <w:szCs w:val="20"/>
              </w:rPr>
              <w:t>.</w:t>
            </w:r>
            <w:r>
              <w:rPr>
                <w:sz w:val="20"/>
                <w:szCs w:val="20"/>
              </w:rPr>
              <w:t xml:space="preserve"> </w:t>
            </w:r>
          </w:p>
        </w:tc>
      </w:tr>
    </w:tbl>
    <w:p w14:paraId="39D7A31F" w14:textId="26C3170E" w:rsidR="001077BB" w:rsidRPr="00932F14" w:rsidRDefault="001077BB" w:rsidP="00303F27">
      <w:pPr>
        <w:pStyle w:val="Heading2"/>
      </w:pPr>
      <w:bookmarkStart w:id="129" w:name="_Toc425174936"/>
      <w:bookmarkStart w:id="130" w:name="_Toc60824997"/>
      <w:bookmarkStart w:id="131" w:name="_Toc61442304"/>
      <w:bookmarkStart w:id="132" w:name="_Toc61449848"/>
      <w:bookmarkStart w:id="133" w:name="_Toc63342492"/>
      <w:bookmarkStart w:id="134" w:name="_Toc71711628"/>
      <w:bookmarkStart w:id="135" w:name="_Toc72673562"/>
      <w:r>
        <w:t>2.2</w:t>
      </w:r>
      <w:r>
        <w:tab/>
      </w:r>
      <w:r w:rsidRPr="00932F14">
        <w:t xml:space="preserve">Risk </w:t>
      </w:r>
      <w:r>
        <w:t>a</w:t>
      </w:r>
      <w:r w:rsidRPr="00932F14">
        <w:t>ssessment</w:t>
      </w:r>
      <w:bookmarkEnd w:id="129"/>
      <w:bookmarkEnd w:id="130"/>
      <w:bookmarkEnd w:id="131"/>
      <w:bookmarkEnd w:id="132"/>
      <w:bookmarkEnd w:id="133"/>
      <w:bookmarkEnd w:id="134"/>
      <w:bookmarkEnd w:id="135"/>
      <w:r w:rsidRPr="00932F14">
        <w:t xml:space="preserve"> </w:t>
      </w:r>
    </w:p>
    <w:p w14:paraId="1F1F8161" w14:textId="1BC28E51" w:rsidR="00B853C4" w:rsidRDefault="00B853C4" w:rsidP="00B853C4">
      <w:pPr>
        <w:pStyle w:val="Heading3"/>
      </w:pPr>
      <w:bookmarkStart w:id="136" w:name="_Toc71711629"/>
      <w:bookmarkStart w:id="137" w:name="_Toc72673563"/>
      <w:bookmarkStart w:id="138" w:name="_Toc175381442"/>
      <w:bookmarkStart w:id="139" w:name="_Toc286391010"/>
      <w:bookmarkStart w:id="140" w:name="_Toc300933426"/>
      <w:bookmarkStart w:id="141" w:name="_Toc425174937"/>
      <w:r>
        <w:t>2.2.1</w:t>
      </w:r>
      <w:r>
        <w:tab/>
      </w:r>
      <w:r w:rsidR="0005342D">
        <w:t>Carbohydrate Composition</w:t>
      </w:r>
      <w:bookmarkEnd w:id="136"/>
      <w:bookmarkEnd w:id="137"/>
      <w:r w:rsidR="0005342D" w:rsidDel="0005342D">
        <w:t xml:space="preserve"> </w:t>
      </w:r>
    </w:p>
    <w:p w14:paraId="17384AF5" w14:textId="40B9C53B" w:rsidR="0061076E" w:rsidRDefault="0061076E" w:rsidP="00424BD1">
      <w:pPr>
        <w:widowControl/>
        <w:spacing w:before="120" w:after="120"/>
      </w:pPr>
      <w:r>
        <w:t>Intense physical exercise leads to sweating in order to dissipate heat and reduce body temperature to normal levels. Sweating results in a loss of body water, sodium and</w:t>
      </w:r>
      <w:r w:rsidR="000E15A8">
        <w:t>,</w:t>
      </w:r>
      <w:r>
        <w:t xml:space="preserve"> to a lesser extent</w:t>
      </w:r>
      <w:r w:rsidR="000E15A8">
        <w:t xml:space="preserve">, </w:t>
      </w:r>
      <w:r>
        <w:t>other minerals including potassium, calcium and magnesium. Physiological responses to dehydration include increased cardiovascular strain, an inability to thermoregulate and at high levels results in impaired mental function.</w:t>
      </w:r>
    </w:p>
    <w:p w14:paraId="5523B401" w14:textId="676FEC20" w:rsidR="0061076E" w:rsidRDefault="0061076E" w:rsidP="00424BD1">
      <w:pPr>
        <w:widowControl/>
        <w:spacing w:before="120" w:after="120"/>
      </w:pPr>
      <w:r>
        <w:lastRenderedPageBreak/>
        <w:t xml:space="preserve">Dehydration as well as a decrease in the body’s </w:t>
      </w:r>
      <w:r w:rsidR="0052629D">
        <w:t>carbohydrate</w:t>
      </w:r>
      <w:r w:rsidR="00891DC4">
        <w:t xml:space="preserve"> </w:t>
      </w:r>
      <w:r>
        <w:t>reserves can impair physical performance. Consumption of</w:t>
      </w:r>
      <w:r w:rsidR="00F30226">
        <w:t xml:space="preserve"> electrolyte drinks </w:t>
      </w:r>
      <w:r>
        <w:t>during and after intense exercise aids in rehydration and maintaining physical performance. Research on</w:t>
      </w:r>
      <w:r w:rsidR="00F30226">
        <w:t xml:space="preserve"> electrolyte drinks </w:t>
      </w:r>
      <w:r>
        <w:t xml:space="preserve">has primarily focused on those with a </w:t>
      </w:r>
      <w:r w:rsidR="0052629D">
        <w:t>carbohydrate</w:t>
      </w:r>
      <w:r>
        <w:t xml:space="preserve"> content of 6 </w:t>
      </w:r>
      <w:r w:rsidR="00557F44">
        <w:t xml:space="preserve">to </w:t>
      </w:r>
      <w:r>
        <w:t>18%</w:t>
      </w:r>
      <w:r w:rsidR="000E15A8">
        <w:t xml:space="preserve">. </w:t>
      </w:r>
      <w:r>
        <w:t>Standard 2.6.2 currently requires an</w:t>
      </w:r>
      <w:r w:rsidR="00F30226">
        <w:t xml:space="preserve"> electrolyte drink </w:t>
      </w:r>
      <w:r>
        <w:t>to contain 5</w:t>
      </w:r>
      <w:r w:rsidR="00557F44">
        <w:t xml:space="preserve"> to</w:t>
      </w:r>
      <w:r>
        <w:t xml:space="preserve">10% </w:t>
      </w:r>
      <w:r w:rsidR="0052629D">
        <w:t>carbohydrate</w:t>
      </w:r>
      <w:r>
        <w:t xml:space="preserve">. </w:t>
      </w:r>
    </w:p>
    <w:p w14:paraId="60719144" w14:textId="7FDCE1E7" w:rsidR="0061076E" w:rsidRDefault="0061076E" w:rsidP="00424BD1">
      <w:pPr>
        <w:widowControl/>
        <w:spacing w:before="120" w:after="120"/>
      </w:pPr>
      <w:r>
        <w:t xml:space="preserve">The purpose of this review </w:t>
      </w:r>
      <w:r w:rsidR="00F04F2A">
        <w:t>wa</w:t>
      </w:r>
      <w:r>
        <w:t>s to determine if low</w:t>
      </w:r>
      <w:r w:rsidR="00F50EEC">
        <w:t>er</w:t>
      </w:r>
      <w:r>
        <w:t xml:space="preserve"> </w:t>
      </w:r>
      <w:r w:rsidR="0052629D">
        <w:t>carbohydrate</w:t>
      </w:r>
      <w:r>
        <w:t xml:space="preserve"> </w:t>
      </w:r>
      <w:r w:rsidR="00AF6179">
        <w:t xml:space="preserve">(less than </w:t>
      </w:r>
      <w:r>
        <w:t>5%)</w:t>
      </w:r>
      <w:r w:rsidR="00F30226">
        <w:t xml:space="preserve"> electrolyte drinks </w:t>
      </w:r>
      <w:r>
        <w:t xml:space="preserve">have a similar effect on rehydration and exercise performance as those that are currently permitted in the Code. </w:t>
      </w:r>
    </w:p>
    <w:p w14:paraId="1E28A1B0" w14:textId="57D3538D" w:rsidR="0061076E" w:rsidRDefault="00AF6179" w:rsidP="00424BD1">
      <w:pPr>
        <w:widowControl/>
        <w:spacing w:before="120" w:after="120"/>
      </w:pPr>
      <w:r>
        <w:t xml:space="preserve">Seven </w:t>
      </w:r>
      <w:r w:rsidR="0061076E">
        <w:t>randomised crossover studies were included in the body of evidence for the effect of low</w:t>
      </w:r>
      <w:r w:rsidR="00D12FC0">
        <w:t>er</w:t>
      </w:r>
      <w:r w:rsidR="0061076E">
        <w:t xml:space="preserve"> </w:t>
      </w:r>
      <w:r w:rsidR="0052629D">
        <w:t>carbohydrate</w:t>
      </w:r>
      <w:r w:rsidR="00F30226">
        <w:t xml:space="preserve"> electrolyte drinks </w:t>
      </w:r>
      <w:r w:rsidR="0061076E">
        <w:t>on rehydration compared to</w:t>
      </w:r>
      <w:r w:rsidR="00F30226">
        <w:t xml:space="preserve"> electrolyte drinks </w:t>
      </w:r>
      <w:r w:rsidR="0061076E">
        <w:t xml:space="preserve">with the currently permitted levels of </w:t>
      </w:r>
      <w:r w:rsidR="0052629D">
        <w:t>carbohydrate</w:t>
      </w:r>
      <w:r w:rsidR="0061076E">
        <w:t xml:space="preserve">. Subjects exercised for approximately </w:t>
      </w:r>
      <w:r w:rsidR="00F04F2A">
        <w:t>one</w:t>
      </w:r>
      <w:r w:rsidR="0061076E">
        <w:t xml:space="preserve"> hour or until a body weight loss of </w:t>
      </w:r>
      <w:r>
        <w:t xml:space="preserve">approximately </w:t>
      </w:r>
      <w:r w:rsidR="0061076E">
        <w:t>2% was achieved. In general</w:t>
      </w:r>
      <w:r w:rsidR="00F04F2A">
        <w:t>,</w:t>
      </w:r>
      <w:r w:rsidR="0061076E">
        <w:t xml:space="preserve"> beverages were consumed following exercise and the effects on recovery from dehydration were considered. However</w:t>
      </w:r>
      <w:r w:rsidR="00F04F2A">
        <w:t>,</w:t>
      </w:r>
      <w:r w:rsidR="0061076E">
        <w:t xml:space="preserve"> one study observed the effects of</w:t>
      </w:r>
      <w:r w:rsidR="00F30226">
        <w:t xml:space="preserve"> electrolyte drinks </w:t>
      </w:r>
      <w:r w:rsidR="0061076E">
        <w:t xml:space="preserve">on preventing dehydration when drinks were consumed during exercise. </w:t>
      </w:r>
    </w:p>
    <w:p w14:paraId="1350E840" w14:textId="61393325" w:rsidR="0061076E" w:rsidRDefault="0061076E" w:rsidP="00424BD1">
      <w:pPr>
        <w:widowControl/>
        <w:spacing w:before="120" w:after="120"/>
      </w:pPr>
      <w:r>
        <w:t>Four randomised crossover studies were considered as evidence for the effect of low</w:t>
      </w:r>
      <w:r w:rsidR="00D12FC0">
        <w:t>er</w:t>
      </w:r>
      <w:r>
        <w:t xml:space="preserve"> </w:t>
      </w:r>
      <w:r w:rsidR="0052629D">
        <w:t>carbohydrate</w:t>
      </w:r>
      <w:r w:rsidR="00F30226">
        <w:t xml:space="preserve"> electrolyte drinks </w:t>
      </w:r>
      <w:r>
        <w:t>on exercise performance compared to</w:t>
      </w:r>
      <w:r w:rsidR="00F30226">
        <w:t xml:space="preserve"> electrolyte drinks </w:t>
      </w:r>
      <w:r>
        <w:t xml:space="preserve">with higher </w:t>
      </w:r>
      <w:r w:rsidR="0052629D">
        <w:t>carbohydrate</w:t>
      </w:r>
      <w:r>
        <w:t xml:space="preserve"> concentrations. Participants exercised for between 60 and 120 min</w:t>
      </w:r>
      <w:r w:rsidR="00C2574B">
        <w:t>utes</w:t>
      </w:r>
      <w:r>
        <w:t xml:space="preserve"> while consuming</w:t>
      </w:r>
      <w:r w:rsidR="00F30226">
        <w:t xml:space="preserve"> electrolyte drinks </w:t>
      </w:r>
      <w:r>
        <w:t xml:space="preserve">with a </w:t>
      </w:r>
      <w:r w:rsidR="0052629D">
        <w:t>carbohydrate</w:t>
      </w:r>
      <w:r>
        <w:t xml:space="preserve"> content of 2</w:t>
      </w:r>
      <w:r w:rsidR="00AF6179">
        <w:t xml:space="preserve"> to</w:t>
      </w:r>
      <w:r w:rsidR="00C2574B">
        <w:t xml:space="preserve"> </w:t>
      </w:r>
      <w:r>
        <w:t xml:space="preserve">10%. Exercise performance was measured in terms of time to exhaustion or time trial following exercise of approximately </w:t>
      </w:r>
      <w:r w:rsidR="00F04F2A">
        <w:t>one</w:t>
      </w:r>
      <w:r>
        <w:t xml:space="preserve"> hour. </w:t>
      </w:r>
    </w:p>
    <w:p w14:paraId="3DCF8978" w14:textId="03A85D4B" w:rsidR="0061076E" w:rsidRDefault="0061076E" w:rsidP="00424BD1">
      <w:pPr>
        <w:widowControl/>
        <w:spacing w:before="120" w:after="120"/>
      </w:pPr>
      <w:r>
        <w:t>A number of limitations in study design were identified in the body of evidence including the lack of blinding of participants and investigators in some studies, small sample size, as well as the reliability of hydration markers which may have made differences in drink composition difficult to detect.</w:t>
      </w:r>
    </w:p>
    <w:p w14:paraId="04E2883A" w14:textId="6A6BF3FF" w:rsidR="00922170" w:rsidRPr="00F91A10" w:rsidRDefault="0061076E" w:rsidP="00FB016D">
      <w:pPr>
        <w:widowControl/>
        <w:spacing w:before="120" w:after="120"/>
        <w:rPr>
          <w:lang w:eastAsia="en-AU" w:bidi="ar-SA"/>
        </w:rPr>
      </w:pPr>
      <w:r>
        <w:t>This assessment concluded that based on the available evidence no clear difference between low</w:t>
      </w:r>
      <w:r w:rsidR="00D12FC0">
        <w:t>er</w:t>
      </w:r>
      <w:r>
        <w:t xml:space="preserve"> </w:t>
      </w:r>
      <w:r w:rsidR="0052629D">
        <w:t>carbohydrate</w:t>
      </w:r>
      <w:r w:rsidR="00F30226">
        <w:t xml:space="preserve"> electrolyte drinks </w:t>
      </w:r>
      <w:r>
        <w:t xml:space="preserve">and those that are currently permitted in the Code </w:t>
      </w:r>
      <w:r w:rsidR="00F04F2A">
        <w:t xml:space="preserve">were </w:t>
      </w:r>
      <w:r>
        <w:t xml:space="preserve">observed in terms of benefit on rehydration or </w:t>
      </w:r>
      <w:r w:rsidRPr="00E66CFF">
        <w:t>enhancing exercise performance</w:t>
      </w:r>
      <w:r>
        <w:t xml:space="preserve"> when consumed during or on completion of sustained exercise </w:t>
      </w:r>
      <w:r w:rsidR="00AF6179">
        <w:t>(</w:t>
      </w:r>
      <w:r w:rsidR="00AF6179">
        <w:rPr>
          <w:rFonts w:cs="Arial"/>
        </w:rPr>
        <w:t xml:space="preserve">at least </w:t>
      </w:r>
      <w:r>
        <w:t>60 min</w:t>
      </w:r>
      <w:r w:rsidR="00C2574B">
        <w:t>utes</w:t>
      </w:r>
      <w:r>
        <w:t xml:space="preserve"> or 2% body weight loss). </w:t>
      </w:r>
    </w:p>
    <w:p w14:paraId="6E0ED156" w14:textId="717E3743" w:rsidR="00FB016D" w:rsidRPr="00894468" w:rsidRDefault="00E759B0" w:rsidP="00894468">
      <w:pPr>
        <w:pStyle w:val="Heading3"/>
      </w:pPr>
      <w:bookmarkStart w:id="142" w:name="_Toc71711630"/>
      <w:bookmarkStart w:id="143" w:name="_Toc72673564"/>
      <w:r>
        <w:t>2.2.2 Other</w:t>
      </w:r>
      <w:r w:rsidR="00FB016D">
        <w:t xml:space="preserve"> issues</w:t>
      </w:r>
      <w:bookmarkEnd w:id="142"/>
      <w:bookmarkEnd w:id="143"/>
    </w:p>
    <w:p w14:paraId="09A3C4FB" w14:textId="36A46407" w:rsidR="00C313E2" w:rsidRDefault="00C313E2" w:rsidP="00F91A10">
      <w:pPr>
        <w:rPr>
          <w:lang w:eastAsia="en-AU" w:bidi="ar-SA"/>
        </w:rPr>
      </w:pPr>
      <w:r>
        <w:rPr>
          <w:lang w:eastAsia="en-AU" w:bidi="ar-SA"/>
        </w:rPr>
        <w:t>FSANZ has ident</w:t>
      </w:r>
      <w:r w:rsidR="000E047A">
        <w:rPr>
          <w:lang w:eastAsia="en-AU" w:bidi="ar-SA"/>
        </w:rPr>
        <w:t xml:space="preserve">ified a number of other </w:t>
      </w:r>
      <w:r>
        <w:rPr>
          <w:lang w:eastAsia="en-AU" w:bidi="ar-SA"/>
        </w:rPr>
        <w:t xml:space="preserve">issues </w:t>
      </w:r>
      <w:r w:rsidR="00E759B0">
        <w:rPr>
          <w:lang w:eastAsia="en-AU" w:bidi="ar-SA"/>
        </w:rPr>
        <w:t>that</w:t>
      </w:r>
      <w:r>
        <w:rPr>
          <w:lang w:eastAsia="en-AU" w:bidi="ar-SA"/>
        </w:rPr>
        <w:t xml:space="preserve"> relate to both the consumption and marketing of electrolyte drinks</w:t>
      </w:r>
      <w:r w:rsidR="00894468">
        <w:rPr>
          <w:lang w:eastAsia="en-AU" w:bidi="ar-SA"/>
        </w:rPr>
        <w:t xml:space="preserve"> including</w:t>
      </w:r>
      <w:r w:rsidR="000E047A">
        <w:rPr>
          <w:lang w:eastAsia="en-AU" w:bidi="ar-SA"/>
        </w:rPr>
        <w:t xml:space="preserve"> </w:t>
      </w:r>
      <w:r w:rsidR="003F7FD7">
        <w:rPr>
          <w:lang w:eastAsia="en-AU" w:bidi="ar-SA"/>
        </w:rPr>
        <w:t>nutrition</w:t>
      </w:r>
      <w:r w:rsidR="00F624D8">
        <w:rPr>
          <w:lang w:eastAsia="en-AU" w:bidi="ar-SA"/>
        </w:rPr>
        <w:t xml:space="preserve"> content </w:t>
      </w:r>
      <w:r w:rsidR="00894468">
        <w:rPr>
          <w:lang w:eastAsia="en-AU" w:bidi="ar-SA"/>
        </w:rPr>
        <w:t>and health claims,</w:t>
      </w:r>
      <w:r w:rsidR="00F624D8">
        <w:rPr>
          <w:lang w:eastAsia="en-AU" w:bidi="ar-SA"/>
        </w:rPr>
        <w:t xml:space="preserve"> nutrition information requirements, </w:t>
      </w:r>
      <w:r w:rsidR="00894468">
        <w:rPr>
          <w:lang w:eastAsia="en-AU" w:bidi="ar-SA"/>
        </w:rPr>
        <w:t xml:space="preserve">terminology and </w:t>
      </w:r>
      <w:r w:rsidR="00A63286">
        <w:rPr>
          <w:lang w:eastAsia="en-AU" w:bidi="ar-SA"/>
        </w:rPr>
        <w:t xml:space="preserve">the consumption of </w:t>
      </w:r>
      <w:r w:rsidR="00894468">
        <w:rPr>
          <w:lang w:eastAsia="en-AU" w:bidi="ar-SA"/>
        </w:rPr>
        <w:t xml:space="preserve">sugar sweetened beverages. These issues have </w:t>
      </w:r>
      <w:r>
        <w:rPr>
          <w:lang w:eastAsia="en-AU" w:bidi="ar-SA"/>
        </w:rPr>
        <w:t xml:space="preserve">been </w:t>
      </w:r>
      <w:r w:rsidR="00C73F29">
        <w:rPr>
          <w:lang w:eastAsia="en-AU" w:bidi="ar-SA"/>
        </w:rPr>
        <w:t xml:space="preserve">addressed </w:t>
      </w:r>
      <w:r>
        <w:rPr>
          <w:lang w:eastAsia="en-AU" w:bidi="ar-SA"/>
        </w:rPr>
        <w:t xml:space="preserve">in sections </w:t>
      </w:r>
      <w:r w:rsidR="009F1B0C">
        <w:rPr>
          <w:lang w:eastAsia="en-AU" w:bidi="ar-SA"/>
        </w:rPr>
        <w:t xml:space="preserve">2.3.4, 2.3.5, 2.3.7, 2.3.9, 2.4 </w:t>
      </w:r>
      <w:r>
        <w:rPr>
          <w:lang w:eastAsia="en-AU" w:bidi="ar-SA"/>
        </w:rPr>
        <w:t xml:space="preserve">below.  </w:t>
      </w:r>
    </w:p>
    <w:p w14:paraId="14D316DE" w14:textId="77777777" w:rsidR="001077BB" w:rsidRPr="00932F14" w:rsidRDefault="001077BB" w:rsidP="00303F27">
      <w:pPr>
        <w:pStyle w:val="Heading2"/>
      </w:pPr>
      <w:bookmarkStart w:id="144" w:name="_Toc60824998"/>
      <w:bookmarkStart w:id="145" w:name="_Toc61442305"/>
      <w:bookmarkStart w:id="146" w:name="_Toc61449849"/>
      <w:bookmarkStart w:id="147" w:name="_Toc63342493"/>
      <w:bookmarkStart w:id="148" w:name="_Toc71711631"/>
      <w:bookmarkStart w:id="149" w:name="_Toc72673565"/>
      <w:r>
        <w:t>2.3</w:t>
      </w:r>
      <w:r>
        <w:tab/>
      </w:r>
      <w:bookmarkEnd w:id="138"/>
      <w:bookmarkEnd w:id="139"/>
      <w:bookmarkEnd w:id="140"/>
      <w:r>
        <w:t>Risk management</w:t>
      </w:r>
      <w:bookmarkEnd w:id="141"/>
      <w:bookmarkEnd w:id="144"/>
      <w:bookmarkEnd w:id="145"/>
      <w:bookmarkEnd w:id="146"/>
      <w:bookmarkEnd w:id="147"/>
      <w:bookmarkEnd w:id="148"/>
      <w:bookmarkEnd w:id="149"/>
    </w:p>
    <w:p w14:paraId="21809B29" w14:textId="3F110A86" w:rsidR="00FF18B5" w:rsidRPr="00965DE2" w:rsidRDefault="00FF18B5" w:rsidP="00965DE2">
      <w:pPr>
        <w:pStyle w:val="Heading3"/>
      </w:pPr>
      <w:bookmarkStart w:id="150" w:name="_Toc60824999"/>
      <w:bookmarkStart w:id="151" w:name="_Toc61442306"/>
      <w:bookmarkStart w:id="152" w:name="_Toc61449850"/>
      <w:bookmarkStart w:id="153" w:name="_Toc63342494"/>
      <w:bookmarkStart w:id="154" w:name="_Toc71711632"/>
      <w:bookmarkStart w:id="155" w:name="_Toc72673566"/>
      <w:r w:rsidRPr="00965DE2">
        <w:t>2.3.1</w:t>
      </w:r>
      <w:r w:rsidR="00C44CEC" w:rsidRPr="00965DE2">
        <w:tab/>
      </w:r>
      <w:r w:rsidRPr="00965DE2">
        <w:t>Proposed transfer to Standard 2.9.4</w:t>
      </w:r>
      <w:bookmarkEnd w:id="150"/>
      <w:bookmarkEnd w:id="151"/>
      <w:bookmarkEnd w:id="152"/>
      <w:bookmarkEnd w:id="153"/>
      <w:bookmarkEnd w:id="154"/>
      <w:bookmarkEnd w:id="155"/>
      <w:r w:rsidR="00E260CC" w:rsidRPr="00965DE2">
        <w:t xml:space="preserve"> </w:t>
      </w:r>
    </w:p>
    <w:p w14:paraId="03C37D6C" w14:textId="00827A2D" w:rsidR="00FF18B5" w:rsidRPr="00D70D72" w:rsidRDefault="00FF18B5" w:rsidP="00424BD1">
      <w:pPr>
        <w:pStyle w:val="Heading4"/>
        <w:keepNext w:val="0"/>
        <w:widowControl/>
        <w:spacing w:before="120" w:after="120"/>
        <w:rPr>
          <w:lang w:eastAsia="en-AU"/>
        </w:rPr>
      </w:pPr>
      <w:r>
        <w:rPr>
          <w:lang w:eastAsia="en-AU"/>
        </w:rPr>
        <w:t>2.3.1.1</w:t>
      </w:r>
      <w:r w:rsidRPr="00D70D72">
        <w:rPr>
          <w:lang w:eastAsia="en-AU"/>
        </w:rPr>
        <w:tab/>
        <w:t>Approach in 2014 Call for submissions</w:t>
      </w:r>
    </w:p>
    <w:p w14:paraId="21D1BDE9" w14:textId="145EDDD9" w:rsidR="00424BD1" w:rsidRDefault="00D14393" w:rsidP="00965DE2">
      <w:pPr>
        <w:spacing w:before="120" w:after="120"/>
      </w:pPr>
      <w:bookmarkStart w:id="156" w:name="_Toc60760242"/>
      <w:r>
        <w:t xml:space="preserve">FSANZ </w:t>
      </w:r>
      <w:r w:rsidR="00AC481A">
        <w:t xml:space="preserve">originally </w:t>
      </w:r>
      <w:r>
        <w:t xml:space="preserve">proposed </w:t>
      </w:r>
      <w:r w:rsidR="0014120C">
        <w:t xml:space="preserve">to </w:t>
      </w:r>
      <w:r w:rsidR="00FF18B5">
        <w:t>transfer the regulation of</w:t>
      </w:r>
      <w:r w:rsidR="00F30226">
        <w:t xml:space="preserve"> electrolyte drinks </w:t>
      </w:r>
      <w:r w:rsidR="00FF18B5">
        <w:t xml:space="preserve">from </w:t>
      </w:r>
      <w:r w:rsidR="00C326AB">
        <w:t xml:space="preserve">Standard 2.6.2, </w:t>
      </w:r>
      <w:r w:rsidR="0076562E">
        <w:t>a</w:t>
      </w:r>
      <w:r w:rsidR="00FF18B5">
        <w:t xml:space="preserve"> general commodity standard</w:t>
      </w:r>
      <w:r w:rsidR="0076562E">
        <w:t>,</w:t>
      </w:r>
      <w:r w:rsidR="00FF18B5">
        <w:t xml:space="preserve"> to a special purpose food standard, Standard 2.9.4</w:t>
      </w:r>
      <w:r w:rsidR="00983E75">
        <w:t xml:space="preserve"> (see </w:t>
      </w:r>
      <w:r w:rsidR="00F35E70">
        <w:t xml:space="preserve">drafting at </w:t>
      </w:r>
      <w:r w:rsidR="00983E75">
        <w:t>Attachment C)</w:t>
      </w:r>
      <w:r w:rsidR="00FF18B5" w:rsidRPr="0023479A">
        <w:t>.</w:t>
      </w:r>
      <w:r w:rsidR="0080457A">
        <w:t xml:space="preserve"> This was</w:t>
      </w:r>
      <w:r w:rsidR="0080457A" w:rsidDel="00DB0406">
        <w:t xml:space="preserve"> to </w:t>
      </w:r>
      <w:r w:rsidR="00CF3C9B">
        <w:t>both</w:t>
      </w:r>
      <w:r w:rsidR="00DB0406">
        <w:t xml:space="preserve"> recognise and </w:t>
      </w:r>
      <w:r w:rsidR="0080457A">
        <w:t xml:space="preserve">emphasise the product’s special purpose in accordance with its regulatory definition </w:t>
      </w:r>
      <w:r w:rsidR="0080457A">
        <w:lastRenderedPageBreak/>
        <w:t xml:space="preserve">while noting it was a </w:t>
      </w:r>
      <w:r w:rsidR="00C12BAA">
        <w:t xml:space="preserve">preliminary </w:t>
      </w:r>
      <w:r w:rsidR="0080457A">
        <w:t xml:space="preserve">step </w:t>
      </w:r>
      <w:r w:rsidR="0014120C">
        <w:t>prior to the</w:t>
      </w:r>
      <w:r w:rsidR="0080457A">
        <w:t xml:space="preserve"> review of Standard 2.9.4.</w:t>
      </w:r>
      <w:bookmarkEnd w:id="156"/>
      <w:r w:rsidR="00E66CFF">
        <w:t xml:space="preserve"> </w:t>
      </w:r>
    </w:p>
    <w:p w14:paraId="35D38628" w14:textId="287FAD2E" w:rsidR="008D5D28" w:rsidRPr="00890D35" w:rsidRDefault="00981BA4" w:rsidP="00965DE2">
      <w:pPr>
        <w:spacing w:before="120" w:after="120"/>
      </w:pPr>
      <w:bookmarkStart w:id="157" w:name="_Toc60760243"/>
      <w:r>
        <w:t>Submitters were mixed in their support for the transfer citing</w:t>
      </w:r>
      <w:r w:rsidR="00983E75">
        <w:t xml:space="preserve"> </w:t>
      </w:r>
      <w:r w:rsidR="007F0485">
        <w:t>either consistency with</w:t>
      </w:r>
      <w:r w:rsidR="00F30226">
        <w:t xml:space="preserve"> electrolyte drinks </w:t>
      </w:r>
      <w:r w:rsidR="007F0485">
        <w:t xml:space="preserve">as a special purpose food; or </w:t>
      </w:r>
      <w:r w:rsidR="0014120C">
        <w:t xml:space="preserve">if a special purpose food, </w:t>
      </w:r>
      <w:r w:rsidR="006A0AEE">
        <w:t>it</w:t>
      </w:r>
      <w:r w:rsidR="0014120C">
        <w:t xml:space="preserve"> would exempt</w:t>
      </w:r>
      <w:r w:rsidR="00F30226">
        <w:t xml:space="preserve"> electrolyte drinks </w:t>
      </w:r>
      <w:r w:rsidR="00983E75">
        <w:t>from Health Star Rating graphics</w:t>
      </w:r>
      <w:r w:rsidR="007F0485">
        <w:t xml:space="preserve"> </w:t>
      </w:r>
      <w:r w:rsidR="00303F27">
        <w:t>and</w:t>
      </w:r>
      <w:r w:rsidR="00983E75">
        <w:t xml:space="preserve"> </w:t>
      </w:r>
      <w:r w:rsidR="0014120C">
        <w:t>be</w:t>
      </w:r>
      <w:r w:rsidR="00303F27">
        <w:t xml:space="preserve"> </w:t>
      </w:r>
      <w:r w:rsidR="00983E75">
        <w:t>inconsisten</w:t>
      </w:r>
      <w:r w:rsidR="0014120C">
        <w:t>t</w:t>
      </w:r>
      <w:r w:rsidR="00983E75">
        <w:t xml:space="preserve"> with current marketing and promotion</w:t>
      </w:r>
      <w:r w:rsidR="007F0485">
        <w:t xml:space="preserve"> approaches</w:t>
      </w:r>
      <w:r w:rsidR="00983E75">
        <w:t>.</w:t>
      </w:r>
      <w:bookmarkEnd w:id="157"/>
      <w:r w:rsidR="008D5D28">
        <w:t xml:space="preserve"> </w:t>
      </w:r>
      <w:r w:rsidR="008D5D28" w:rsidRPr="00890D35">
        <w:t>Two jurisdictions supported the transfer of</w:t>
      </w:r>
      <w:r w:rsidR="00F30226">
        <w:t xml:space="preserve"> electrolyte drink </w:t>
      </w:r>
      <w:r w:rsidR="008D5D28" w:rsidRPr="00890D35">
        <w:t>regulations to Standard 2.9.4. Some jurisdictions questioned why the proposal was proceeding ahead of a comprehensive review of Standard 2.9.4 that incorporated</w:t>
      </w:r>
      <w:r w:rsidR="0052629D">
        <w:t xml:space="preserve"> electrolyte drinks.</w:t>
      </w:r>
      <w:r w:rsidR="008D5D28" w:rsidRPr="00890D35">
        <w:t xml:space="preserve"> All jurisdictions commented that any proposed regulatory changes should be underpinned by a robust scientific evidence base. One jurisdiction also noted the transfer of</w:t>
      </w:r>
      <w:r w:rsidR="00F30226">
        <w:t xml:space="preserve"> electrolyte drink </w:t>
      </w:r>
      <w:r w:rsidR="00F253D0">
        <w:t>regulation</w:t>
      </w:r>
      <w:r w:rsidR="00F253D0" w:rsidRPr="00890D35">
        <w:t xml:space="preserve"> </w:t>
      </w:r>
      <w:r w:rsidR="008D5D28" w:rsidRPr="00890D35">
        <w:t xml:space="preserve">to Standard 2.9.4 would not reflect the actual range of population usage. </w:t>
      </w:r>
    </w:p>
    <w:p w14:paraId="490C75E2" w14:textId="6A1D7F35" w:rsidR="00FF18B5" w:rsidRDefault="00FF18B5" w:rsidP="00424BD1">
      <w:pPr>
        <w:pStyle w:val="Heading4"/>
        <w:keepNext w:val="0"/>
        <w:widowControl/>
        <w:spacing w:before="120" w:after="120"/>
        <w:rPr>
          <w:lang w:eastAsia="en-AU"/>
        </w:rPr>
      </w:pPr>
      <w:r>
        <w:rPr>
          <w:lang w:eastAsia="en-AU"/>
        </w:rPr>
        <w:t>2.3.1.2</w:t>
      </w:r>
      <w:r>
        <w:rPr>
          <w:lang w:eastAsia="en-AU"/>
        </w:rPr>
        <w:tab/>
        <w:t xml:space="preserve">Proposed </w:t>
      </w:r>
      <w:r w:rsidRPr="0076562E">
        <w:rPr>
          <w:lang w:eastAsia="en-AU"/>
        </w:rPr>
        <w:t xml:space="preserve">approach </w:t>
      </w:r>
    </w:p>
    <w:p w14:paraId="6D1A677A" w14:textId="2DED5DE5" w:rsidR="00FF18B5" w:rsidRDefault="00B12B6C" w:rsidP="0085457E">
      <w:bookmarkStart w:id="158" w:name="_Toc60760244"/>
      <w:bookmarkStart w:id="159" w:name="_Toc60825000"/>
      <w:r>
        <w:t xml:space="preserve">FSANZ is proposing to limit </w:t>
      </w:r>
      <w:r w:rsidR="0014120C">
        <w:t>P10</w:t>
      </w:r>
      <w:r w:rsidR="008B4CF6">
        <w:t>30</w:t>
      </w:r>
      <w:r w:rsidR="00BA28E3">
        <w:t xml:space="preserve"> </w:t>
      </w:r>
      <w:r w:rsidR="00E90656">
        <w:t xml:space="preserve">now </w:t>
      </w:r>
      <w:r w:rsidR="00B7057E">
        <w:t xml:space="preserve">to </w:t>
      </w:r>
      <w:r w:rsidR="005D1F04">
        <w:t xml:space="preserve">the </w:t>
      </w:r>
      <w:r w:rsidR="0014120C">
        <w:t xml:space="preserve">composition and labelling </w:t>
      </w:r>
      <w:r w:rsidR="00055B05">
        <w:t>of</w:t>
      </w:r>
      <w:r w:rsidR="00F30226">
        <w:t xml:space="preserve"> electrolyte drinks </w:t>
      </w:r>
      <w:r w:rsidR="005D1F04">
        <w:t>within Standard 2.6.2</w:t>
      </w:r>
      <w:r w:rsidR="0080457A" w:rsidRPr="0080457A">
        <w:t>.</w:t>
      </w:r>
      <w:bookmarkEnd w:id="158"/>
      <w:bookmarkEnd w:id="159"/>
      <w:r w:rsidR="0080457A" w:rsidRPr="0080457A">
        <w:t xml:space="preserve"> </w:t>
      </w:r>
      <w:r>
        <w:t xml:space="preserve">Any </w:t>
      </w:r>
      <w:r w:rsidR="00055B05">
        <w:t>transfer</w:t>
      </w:r>
      <w:r w:rsidR="007B7652">
        <w:t xml:space="preserve"> of these </w:t>
      </w:r>
      <w:r w:rsidR="005D1F04">
        <w:t xml:space="preserve">provisions </w:t>
      </w:r>
      <w:r w:rsidR="00055B05">
        <w:t>to</w:t>
      </w:r>
      <w:r w:rsidR="005D1F04">
        <w:t xml:space="preserve"> Standard 2.9.4 </w:t>
      </w:r>
      <w:r w:rsidR="00055B05">
        <w:t xml:space="preserve">and </w:t>
      </w:r>
      <w:r w:rsidR="008B4CF6">
        <w:t xml:space="preserve">the </w:t>
      </w:r>
      <w:r w:rsidR="005D1F04">
        <w:t xml:space="preserve">reclassification of electrolyte drinks as special purpose foods </w:t>
      </w:r>
      <w:r w:rsidR="007B7652">
        <w:t>may be further considered</w:t>
      </w:r>
      <w:r w:rsidR="005D1F04">
        <w:t xml:space="preserve"> as part of the review of sports foods</w:t>
      </w:r>
      <w:r w:rsidR="00D03DA9">
        <w:t xml:space="preserve"> (</w:t>
      </w:r>
      <w:r w:rsidR="00C12BAA">
        <w:t>P1010</w:t>
      </w:r>
      <w:r w:rsidR="00D03DA9">
        <w:t>)</w:t>
      </w:r>
      <w:r w:rsidR="005D1F04">
        <w:t xml:space="preserve">. </w:t>
      </w:r>
      <w:r w:rsidR="007B7652">
        <w:t xml:space="preserve"> </w:t>
      </w:r>
      <w:r w:rsidR="0080457A" w:rsidRPr="0080457A">
        <w:t xml:space="preserve"> </w:t>
      </w:r>
    </w:p>
    <w:p w14:paraId="3DBE8808" w14:textId="2ABEB81E" w:rsidR="00FF18B5" w:rsidRPr="00965DE2" w:rsidRDefault="00FF18B5" w:rsidP="00965DE2">
      <w:pPr>
        <w:pStyle w:val="Heading3"/>
      </w:pPr>
      <w:bookmarkStart w:id="160" w:name="_Toc60825001"/>
      <w:bookmarkStart w:id="161" w:name="_Toc61442307"/>
      <w:bookmarkStart w:id="162" w:name="_Toc61449851"/>
      <w:bookmarkStart w:id="163" w:name="_Toc63342495"/>
      <w:bookmarkStart w:id="164" w:name="_Toc71711633"/>
      <w:bookmarkStart w:id="165" w:name="_Toc72673567"/>
      <w:r w:rsidRPr="00965DE2">
        <w:t>2.3.2</w:t>
      </w:r>
      <w:r w:rsidRPr="00965DE2">
        <w:tab/>
        <w:t>Definition</w:t>
      </w:r>
      <w:bookmarkEnd w:id="160"/>
      <w:bookmarkEnd w:id="161"/>
      <w:bookmarkEnd w:id="162"/>
      <w:bookmarkEnd w:id="163"/>
      <w:bookmarkEnd w:id="164"/>
      <w:bookmarkEnd w:id="165"/>
      <w:r w:rsidRPr="00965DE2">
        <w:t xml:space="preserve"> </w:t>
      </w:r>
    </w:p>
    <w:p w14:paraId="517572B9" w14:textId="77777777" w:rsidR="00FF18B5" w:rsidRPr="00D70D72" w:rsidRDefault="00FF18B5" w:rsidP="00424BD1">
      <w:pPr>
        <w:pStyle w:val="Heading4"/>
        <w:widowControl/>
        <w:spacing w:before="120" w:after="120"/>
        <w:rPr>
          <w:lang w:eastAsia="en-AU"/>
        </w:rPr>
      </w:pPr>
      <w:r>
        <w:rPr>
          <w:lang w:eastAsia="en-AU"/>
        </w:rPr>
        <w:t>2.3.2.1</w:t>
      </w:r>
      <w:r w:rsidRPr="00D70D72">
        <w:rPr>
          <w:lang w:eastAsia="en-AU"/>
        </w:rPr>
        <w:tab/>
        <w:t>Approach in 2014 Call for submissions</w:t>
      </w:r>
    </w:p>
    <w:p w14:paraId="6F932557" w14:textId="29B5598A" w:rsidR="00781C67" w:rsidRDefault="00135158" w:rsidP="00424BD1">
      <w:pPr>
        <w:widowControl/>
        <w:spacing w:before="120" w:after="120"/>
        <w:rPr>
          <w:lang w:eastAsia="en-AU" w:bidi="ar-SA"/>
        </w:rPr>
      </w:pPr>
      <w:r>
        <w:rPr>
          <w:lang w:eastAsia="en-AU" w:bidi="ar-SA"/>
        </w:rPr>
        <w:t xml:space="preserve">The current definition of </w:t>
      </w:r>
      <w:r w:rsidR="00F30226">
        <w:rPr>
          <w:lang w:eastAsia="en-AU" w:bidi="ar-SA"/>
        </w:rPr>
        <w:t xml:space="preserve">‘electrolyte drink’ </w:t>
      </w:r>
      <w:r w:rsidR="00370497">
        <w:rPr>
          <w:lang w:eastAsia="en-AU" w:bidi="ar-SA"/>
        </w:rPr>
        <w:t xml:space="preserve">in </w:t>
      </w:r>
      <w:r w:rsidR="00E473E3">
        <w:rPr>
          <w:lang w:eastAsia="en-AU" w:bidi="ar-SA"/>
        </w:rPr>
        <w:t>section 1.1.2—3</w:t>
      </w:r>
      <w:r w:rsidR="00370497">
        <w:rPr>
          <w:lang w:eastAsia="en-AU" w:bidi="ar-SA"/>
        </w:rPr>
        <w:t xml:space="preserve"> is</w:t>
      </w:r>
      <w:r>
        <w:rPr>
          <w:lang w:eastAsia="en-AU" w:bidi="ar-SA"/>
        </w:rPr>
        <w:t>:</w:t>
      </w:r>
    </w:p>
    <w:p w14:paraId="75FB3744" w14:textId="25BAFB7C" w:rsidR="00781C67" w:rsidRPr="00781C67" w:rsidRDefault="00781C67" w:rsidP="00424BD1">
      <w:pPr>
        <w:widowControl/>
        <w:spacing w:before="120" w:after="120"/>
        <w:ind w:left="567"/>
        <w:rPr>
          <w:lang w:eastAsia="en-AU" w:bidi="ar-SA"/>
        </w:rPr>
      </w:pPr>
      <w:r w:rsidRPr="0064124A">
        <w:rPr>
          <w:b/>
        </w:rPr>
        <w:t>electrolyte</w:t>
      </w:r>
      <w:r w:rsidRPr="0064124A">
        <w:t xml:space="preserve"> </w:t>
      </w:r>
      <w:r w:rsidRPr="0064124A">
        <w:rPr>
          <w:b/>
        </w:rPr>
        <w:t>drink</w:t>
      </w:r>
      <w:r w:rsidRPr="0064124A">
        <w:t xml:space="preserve"> </w:t>
      </w:r>
      <w:r w:rsidRPr="00781C67">
        <w:t xml:space="preserve">means </w:t>
      </w:r>
      <w:r w:rsidR="00FF18B5" w:rsidRPr="00781C67">
        <w:rPr>
          <w:lang w:eastAsia="en-AU" w:bidi="ar-SA"/>
        </w:rPr>
        <w:t xml:space="preserve">a drink formulated and represented as suitable for the rapid replacement of fluid, carbohydrates, electrolytes and minerals. </w:t>
      </w:r>
    </w:p>
    <w:p w14:paraId="1F2AF759" w14:textId="360C8FEC" w:rsidR="00BC7933" w:rsidRPr="0064124A" w:rsidRDefault="00BC7933" w:rsidP="00424BD1">
      <w:pPr>
        <w:pStyle w:val="Definition"/>
        <w:widowControl/>
        <w:spacing w:before="120" w:after="120"/>
        <w:ind w:left="0" w:firstLine="0"/>
        <w:rPr>
          <w:sz w:val="22"/>
          <w:lang w:eastAsia="en-AU" w:bidi="ar-SA"/>
        </w:rPr>
      </w:pPr>
      <w:r w:rsidRPr="0064124A">
        <w:rPr>
          <w:sz w:val="22"/>
          <w:lang w:eastAsia="en-AU" w:bidi="ar-SA"/>
        </w:rPr>
        <w:t xml:space="preserve">The revised definition </w:t>
      </w:r>
      <w:r w:rsidR="00F1412F">
        <w:rPr>
          <w:sz w:val="22"/>
          <w:lang w:eastAsia="en-AU" w:bidi="ar-SA"/>
        </w:rPr>
        <w:t xml:space="preserve">in 2014 </w:t>
      </w:r>
      <w:r w:rsidRPr="0064124A">
        <w:rPr>
          <w:sz w:val="22"/>
          <w:lang w:eastAsia="en-AU" w:bidi="ar-SA"/>
        </w:rPr>
        <w:t>was</w:t>
      </w:r>
      <w:r w:rsidR="0014120C">
        <w:rPr>
          <w:sz w:val="22"/>
          <w:lang w:eastAsia="en-AU" w:bidi="ar-SA"/>
        </w:rPr>
        <w:t xml:space="preserve"> proposed as</w:t>
      </w:r>
      <w:r w:rsidRPr="0064124A">
        <w:rPr>
          <w:sz w:val="22"/>
          <w:lang w:eastAsia="en-AU" w:bidi="ar-SA"/>
        </w:rPr>
        <w:t>:</w:t>
      </w:r>
    </w:p>
    <w:p w14:paraId="4D417186" w14:textId="77777777" w:rsidR="00BC7933" w:rsidRDefault="00BC7933" w:rsidP="00424BD1">
      <w:pPr>
        <w:pStyle w:val="Definition"/>
        <w:widowControl/>
        <w:spacing w:before="120" w:after="120"/>
        <w:ind w:left="567" w:firstLine="0"/>
        <w:rPr>
          <w:sz w:val="22"/>
        </w:rPr>
      </w:pPr>
      <w:r w:rsidRPr="0064124A">
        <w:rPr>
          <w:b/>
          <w:sz w:val="22"/>
        </w:rPr>
        <w:t>electrolyte</w:t>
      </w:r>
      <w:r w:rsidRPr="0064124A">
        <w:rPr>
          <w:sz w:val="22"/>
        </w:rPr>
        <w:t xml:space="preserve"> </w:t>
      </w:r>
      <w:r w:rsidRPr="0064124A">
        <w:rPr>
          <w:b/>
          <w:sz w:val="22"/>
        </w:rPr>
        <w:t>drink</w:t>
      </w:r>
      <w:r w:rsidRPr="0064124A">
        <w:rPr>
          <w:sz w:val="22"/>
        </w:rPr>
        <w:t xml:space="preserve"> means a drink formulated for the rapid replacement of fluid, carbohydrates and electrolytes lost as a result of sustained strenuous physical activity.</w:t>
      </w:r>
    </w:p>
    <w:p w14:paraId="21BEF88D" w14:textId="7937E405" w:rsidR="00FF18B5" w:rsidRDefault="00424BD1" w:rsidP="00424BD1">
      <w:pPr>
        <w:widowControl/>
        <w:spacing w:before="120" w:after="120"/>
        <w:rPr>
          <w:lang w:eastAsia="en-AU" w:bidi="ar-SA"/>
        </w:rPr>
      </w:pPr>
      <w:r>
        <w:rPr>
          <w:lang w:eastAsia="en-AU" w:bidi="ar-SA"/>
        </w:rPr>
        <w:t xml:space="preserve">At the time, FSANZ considered </w:t>
      </w:r>
      <w:r w:rsidR="00303F27">
        <w:rPr>
          <w:lang w:eastAsia="en-AU" w:bidi="ar-SA"/>
        </w:rPr>
        <w:t xml:space="preserve">the requirement </w:t>
      </w:r>
      <w:r>
        <w:rPr>
          <w:lang w:eastAsia="en-AU" w:bidi="ar-SA"/>
        </w:rPr>
        <w:t>for</w:t>
      </w:r>
      <w:r w:rsidR="00F30226">
        <w:rPr>
          <w:lang w:eastAsia="en-AU" w:bidi="ar-SA"/>
        </w:rPr>
        <w:t xml:space="preserve"> electrolyte drinks </w:t>
      </w:r>
      <w:r>
        <w:rPr>
          <w:lang w:eastAsia="en-AU" w:bidi="ar-SA"/>
        </w:rPr>
        <w:t xml:space="preserve">to be ‘represented as’ </w:t>
      </w:r>
      <w:r w:rsidR="00C61E8D">
        <w:rPr>
          <w:lang w:eastAsia="en-AU" w:bidi="ar-SA"/>
        </w:rPr>
        <w:t xml:space="preserve">relied on voluntary </w:t>
      </w:r>
      <w:r w:rsidR="006A0AEE">
        <w:rPr>
          <w:lang w:eastAsia="en-AU" w:bidi="ar-SA"/>
        </w:rPr>
        <w:t xml:space="preserve">labelling including </w:t>
      </w:r>
      <w:r w:rsidR="00C61E8D">
        <w:rPr>
          <w:lang w:eastAsia="en-AU" w:bidi="ar-SA"/>
        </w:rPr>
        <w:t>health claims</w:t>
      </w:r>
      <w:r w:rsidR="004203D3">
        <w:rPr>
          <w:lang w:eastAsia="en-AU" w:bidi="ar-SA"/>
        </w:rPr>
        <w:t xml:space="preserve"> which had become superfluous</w:t>
      </w:r>
      <w:r w:rsidR="00C61E8D">
        <w:rPr>
          <w:lang w:eastAsia="en-AU" w:bidi="ar-SA"/>
        </w:rPr>
        <w:t>.</w:t>
      </w:r>
      <w:r>
        <w:rPr>
          <w:lang w:eastAsia="en-AU" w:bidi="ar-SA"/>
        </w:rPr>
        <w:t xml:space="preserve"> The proposed </w:t>
      </w:r>
      <w:r w:rsidR="00C61E8D">
        <w:rPr>
          <w:lang w:eastAsia="en-AU" w:bidi="ar-SA"/>
        </w:rPr>
        <w:t>revised</w:t>
      </w:r>
      <w:r>
        <w:rPr>
          <w:lang w:eastAsia="en-AU" w:bidi="ar-SA"/>
        </w:rPr>
        <w:t xml:space="preserve"> definition strengthened the association of consumption of</w:t>
      </w:r>
      <w:r w:rsidR="00F30226">
        <w:rPr>
          <w:lang w:eastAsia="en-AU" w:bidi="ar-SA"/>
        </w:rPr>
        <w:t xml:space="preserve"> electrolyte drinks </w:t>
      </w:r>
      <w:r>
        <w:rPr>
          <w:lang w:eastAsia="en-AU" w:bidi="ar-SA"/>
        </w:rPr>
        <w:t xml:space="preserve">with their intended purpose </w:t>
      </w:r>
      <w:r w:rsidR="00C61E8D">
        <w:rPr>
          <w:lang w:eastAsia="en-AU" w:bidi="ar-SA"/>
        </w:rPr>
        <w:t>for</w:t>
      </w:r>
      <w:r>
        <w:rPr>
          <w:lang w:eastAsia="en-AU" w:bidi="ar-SA"/>
        </w:rPr>
        <w:t xml:space="preserve"> use </w:t>
      </w:r>
      <w:r w:rsidR="00C61E8D">
        <w:rPr>
          <w:lang w:eastAsia="en-AU" w:bidi="ar-SA"/>
        </w:rPr>
        <w:t>in relation to</w:t>
      </w:r>
      <w:r>
        <w:rPr>
          <w:lang w:eastAsia="en-AU" w:bidi="ar-SA"/>
        </w:rPr>
        <w:t xml:space="preserve"> sustained strenuous physical activity. </w:t>
      </w:r>
    </w:p>
    <w:p w14:paraId="050E45DC" w14:textId="0637D47D" w:rsidR="00FF18B5" w:rsidRPr="00103103" w:rsidRDefault="00FF18B5" w:rsidP="00424BD1">
      <w:pPr>
        <w:widowControl/>
        <w:spacing w:before="120" w:after="120"/>
        <w:rPr>
          <w:lang w:eastAsia="en-AU" w:bidi="ar-SA"/>
        </w:rPr>
      </w:pPr>
      <w:r>
        <w:rPr>
          <w:lang w:eastAsia="en-AU" w:bidi="ar-SA"/>
        </w:rPr>
        <w:t xml:space="preserve">Also, </w:t>
      </w:r>
      <w:r w:rsidR="00424BD1">
        <w:rPr>
          <w:lang w:eastAsia="en-AU" w:bidi="ar-SA"/>
        </w:rPr>
        <w:t>FSANZ proposed removing the reference to minerals</w:t>
      </w:r>
      <w:r w:rsidR="00424BD1" w:rsidRPr="00B83958">
        <w:rPr>
          <w:lang w:eastAsia="en-AU" w:bidi="ar-SA"/>
        </w:rPr>
        <w:t xml:space="preserve"> </w:t>
      </w:r>
      <w:r w:rsidR="00424BD1">
        <w:rPr>
          <w:lang w:eastAsia="en-AU" w:bidi="ar-SA"/>
        </w:rPr>
        <w:t>because there is no mandatory compositional requirement to include minerals, other than sodium, which can also be considered as an electrolyte</w:t>
      </w:r>
      <w:r w:rsidR="00C61E8D">
        <w:rPr>
          <w:lang w:eastAsia="en-AU" w:bidi="ar-SA"/>
        </w:rPr>
        <w:t xml:space="preserve"> and is considered as such in </w:t>
      </w:r>
      <w:r w:rsidR="001F203D">
        <w:rPr>
          <w:lang w:eastAsia="en-AU" w:bidi="ar-SA"/>
        </w:rPr>
        <w:t xml:space="preserve">certain </w:t>
      </w:r>
      <w:r w:rsidR="00BF3F40">
        <w:rPr>
          <w:lang w:eastAsia="en-AU" w:bidi="ar-SA"/>
        </w:rPr>
        <w:t xml:space="preserve">tables in </w:t>
      </w:r>
      <w:r w:rsidR="00C61E8D">
        <w:rPr>
          <w:lang w:eastAsia="en-AU" w:bidi="ar-SA"/>
        </w:rPr>
        <w:t xml:space="preserve">Schedule S29 </w:t>
      </w:r>
      <w:r w:rsidR="00C2792E">
        <w:rPr>
          <w:lang w:eastAsia="en-AU" w:bidi="ar-SA"/>
        </w:rPr>
        <w:t xml:space="preserve">– </w:t>
      </w:r>
      <w:r w:rsidR="00F74F8E">
        <w:rPr>
          <w:lang w:eastAsia="en-AU" w:bidi="ar-SA"/>
        </w:rPr>
        <w:t>S</w:t>
      </w:r>
      <w:r w:rsidR="001F203D">
        <w:rPr>
          <w:lang w:eastAsia="en-AU" w:bidi="ar-SA"/>
        </w:rPr>
        <w:t xml:space="preserve">pecial </w:t>
      </w:r>
      <w:r w:rsidR="00BF3F40">
        <w:rPr>
          <w:lang w:eastAsia="en-AU" w:bidi="ar-SA"/>
        </w:rPr>
        <w:t>purpose food</w:t>
      </w:r>
      <w:r w:rsidR="001F203D">
        <w:rPr>
          <w:lang w:eastAsia="en-AU" w:bidi="ar-SA"/>
        </w:rPr>
        <w:t>s</w:t>
      </w:r>
      <w:r w:rsidR="00424BD1" w:rsidRPr="00103103">
        <w:rPr>
          <w:lang w:eastAsia="en-AU" w:bidi="ar-SA"/>
        </w:rPr>
        <w:t>.</w:t>
      </w:r>
    </w:p>
    <w:p w14:paraId="7A120142" w14:textId="0ACCE20C" w:rsidR="00E260CC" w:rsidRDefault="00915CD8" w:rsidP="00424BD1">
      <w:pPr>
        <w:widowControl/>
        <w:spacing w:before="120" w:after="120"/>
      </w:pPr>
      <w:r>
        <w:t xml:space="preserve">Government submitters supported the revised definition </w:t>
      </w:r>
      <w:r w:rsidR="00326526">
        <w:t xml:space="preserve">including </w:t>
      </w:r>
      <w:r w:rsidR="004113F3">
        <w:t>those who sought</w:t>
      </w:r>
      <w:r w:rsidR="00326526">
        <w:t xml:space="preserve"> </w:t>
      </w:r>
      <w:r>
        <w:t xml:space="preserve">further alignment between the definition and the permitted claim. </w:t>
      </w:r>
      <w:r w:rsidR="00C55E69">
        <w:t>One</w:t>
      </w:r>
      <w:r w:rsidR="00E260CC" w:rsidRPr="00781C67">
        <w:t xml:space="preserve"> industry submitter opposed omitting ‘represented as’ </w:t>
      </w:r>
      <w:r w:rsidR="00103103">
        <w:t>because</w:t>
      </w:r>
      <w:r w:rsidR="00781C67">
        <w:t xml:space="preserve"> </w:t>
      </w:r>
      <w:r w:rsidR="00103103" w:rsidRPr="00781C67">
        <w:t>enforce</w:t>
      </w:r>
      <w:r w:rsidR="00103103">
        <w:t>ment</w:t>
      </w:r>
      <w:r w:rsidR="00781C67" w:rsidRPr="00781C67">
        <w:t xml:space="preserve"> would be easier for regulators based on labelling representations rather </w:t>
      </w:r>
      <w:r w:rsidR="00103103">
        <w:t>the compositional requirements</w:t>
      </w:r>
      <w:r w:rsidR="00781C67" w:rsidRPr="00781C67">
        <w:t>.</w:t>
      </w:r>
    </w:p>
    <w:p w14:paraId="646A6D6E" w14:textId="070BE137" w:rsidR="00915CD8" w:rsidRDefault="00781C67" w:rsidP="00424BD1">
      <w:pPr>
        <w:widowControl/>
        <w:spacing w:before="120" w:after="120"/>
      </w:pPr>
      <w:r>
        <w:t>A few</w:t>
      </w:r>
      <w:r w:rsidR="00915CD8">
        <w:t xml:space="preserve"> submitters sought definitions of particular terms in the revised definition for</w:t>
      </w:r>
      <w:r w:rsidR="00326526">
        <w:t>:</w:t>
      </w:r>
      <w:r w:rsidR="00915CD8">
        <w:t xml:space="preserve"> sustained strenuous exercise, rapid replacement</w:t>
      </w:r>
      <w:r w:rsidR="00326526">
        <w:t>,</w:t>
      </w:r>
      <w:r w:rsidR="00915CD8">
        <w:t xml:space="preserve"> and electrolyte (and in the 2.9.4 context – no longer considered</w:t>
      </w:r>
      <w:r w:rsidR="004113F3">
        <w:t xml:space="preserve"> </w:t>
      </w:r>
      <w:r w:rsidR="00915CD8">
        <w:t>– sports person, and achieving specific nutritional or performance goals).</w:t>
      </w:r>
    </w:p>
    <w:p w14:paraId="6F315ABA" w14:textId="3B8BC98D" w:rsidR="00FF18B5" w:rsidRDefault="00FF18B5" w:rsidP="00424BD1">
      <w:pPr>
        <w:pStyle w:val="Heading4"/>
        <w:widowControl/>
        <w:spacing w:before="120" w:after="120"/>
        <w:rPr>
          <w:lang w:eastAsia="en-AU"/>
        </w:rPr>
      </w:pPr>
      <w:r>
        <w:rPr>
          <w:lang w:eastAsia="en-AU"/>
        </w:rPr>
        <w:lastRenderedPageBreak/>
        <w:t>2.3.2.2</w:t>
      </w:r>
      <w:r>
        <w:rPr>
          <w:lang w:eastAsia="en-AU"/>
        </w:rPr>
        <w:tab/>
        <w:t xml:space="preserve">Proposed </w:t>
      </w:r>
      <w:r w:rsidR="002E47E7">
        <w:rPr>
          <w:lang w:eastAsia="en-AU"/>
        </w:rPr>
        <w:t xml:space="preserve">new </w:t>
      </w:r>
      <w:r>
        <w:rPr>
          <w:lang w:eastAsia="en-AU"/>
        </w:rPr>
        <w:t xml:space="preserve">approach </w:t>
      </w:r>
    </w:p>
    <w:p w14:paraId="3CA784B4" w14:textId="108C0D5A" w:rsidR="00050C32" w:rsidRDefault="000626B8" w:rsidP="00424BD1">
      <w:pPr>
        <w:widowControl/>
        <w:spacing w:before="120" w:after="120"/>
        <w:rPr>
          <w:lang w:eastAsia="en-AU" w:bidi="ar-SA"/>
        </w:rPr>
      </w:pPr>
      <w:r>
        <w:rPr>
          <w:lang w:eastAsia="en-AU" w:bidi="ar-SA"/>
        </w:rPr>
        <w:t>FSANZ is proposing to</w:t>
      </w:r>
      <w:r w:rsidR="00050C32">
        <w:rPr>
          <w:lang w:eastAsia="en-AU" w:bidi="ar-SA"/>
        </w:rPr>
        <w:t xml:space="preserve"> </w:t>
      </w:r>
      <w:r w:rsidR="00F1412F">
        <w:rPr>
          <w:lang w:eastAsia="en-AU" w:bidi="ar-SA"/>
        </w:rPr>
        <w:t>make further edits to</w:t>
      </w:r>
      <w:r w:rsidR="00204CD7">
        <w:rPr>
          <w:lang w:eastAsia="en-AU" w:bidi="ar-SA"/>
        </w:rPr>
        <w:t xml:space="preserve"> the</w:t>
      </w:r>
      <w:r w:rsidR="00326526">
        <w:rPr>
          <w:lang w:eastAsia="en-AU" w:bidi="ar-SA"/>
        </w:rPr>
        <w:t xml:space="preserve"> definition</w:t>
      </w:r>
      <w:r w:rsidR="00050C32">
        <w:rPr>
          <w:lang w:eastAsia="en-AU" w:bidi="ar-SA"/>
        </w:rPr>
        <w:t xml:space="preserve"> </w:t>
      </w:r>
      <w:r w:rsidR="00D14393">
        <w:rPr>
          <w:lang w:eastAsia="en-AU" w:bidi="ar-SA"/>
        </w:rPr>
        <w:t xml:space="preserve">proposed in 2014 </w:t>
      </w:r>
      <w:r w:rsidR="00781C67">
        <w:rPr>
          <w:lang w:eastAsia="en-AU" w:bidi="ar-SA"/>
        </w:rPr>
        <w:t>to</w:t>
      </w:r>
      <w:r w:rsidR="00050C32">
        <w:rPr>
          <w:lang w:eastAsia="en-AU" w:bidi="ar-SA"/>
        </w:rPr>
        <w:t xml:space="preserve"> reflect</w:t>
      </w:r>
      <w:r w:rsidR="00326526">
        <w:rPr>
          <w:lang w:eastAsia="en-AU" w:bidi="ar-SA"/>
        </w:rPr>
        <w:t xml:space="preserve"> the </w:t>
      </w:r>
      <w:r w:rsidR="000474F5">
        <w:rPr>
          <w:lang w:eastAsia="en-AU" w:bidi="ar-SA"/>
        </w:rPr>
        <w:t xml:space="preserve">additional </w:t>
      </w:r>
      <w:r w:rsidR="00781C67">
        <w:rPr>
          <w:lang w:eastAsia="en-AU" w:bidi="ar-SA"/>
        </w:rPr>
        <w:t xml:space="preserve">proposed </w:t>
      </w:r>
      <w:r w:rsidR="00657AB9">
        <w:rPr>
          <w:lang w:eastAsia="en-AU" w:bidi="ar-SA"/>
        </w:rPr>
        <w:t>compositional and labelling changes</w:t>
      </w:r>
      <w:r w:rsidR="00BC7933">
        <w:rPr>
          <w:lang w:eastAsia="en-AU" w:bidi="ar-SA"/>
        </w:rPr>
        <w:t>,</w:t>
      </w:r>
      <w:r w:rsidR="00781C67">
        <w:rPr>
          <w:lang w:eastAsia="en-AU" w:bidi="ar-SA"/>
        </w:rPr>
        <w:t xml:space="preserve"> as</w:t>
      </w:r>
      <w:r w:rsidR="00BC7933">
        <w:rPr>
          <w:lang w:eastAsia="en-AU" w:bidi="ar-SA"/>
        </w:rPr>
        <w:t xml:space="preserve"> follows:</w:t>
      </w:r>
      <w:r w:rsidR="00326526">
        <w:rPr>
          <w:lang w:eastAsia="en-AU" w:bidi="ar-SA"/>
        </w:rPr>
        <w:t xml:space="preserve"> </w:t>
      </w:r>
    </w:p>
    <w:p w14:paraId="4AFD6E06" w14:textId="2A9C5A22" w:rsidR="00781C67" w:rsidRPr="0064124A" w:rsidRDefault="00781C67" w:rsidP="00424BD1">
      <w:pPr>
        <w:widowControl/>
        <w:spacing w:before="120" w:after="120"/>
        <w:ind w:left="567"/>
        <w:rPr>
          <w:lang w:eastAsia="en-AU" w:bidi="ar-SA"/>
        </w:rPr>
      </w:pPr>
      <w:r w:rsidRPr="0064124A">
        <w:rPr>
          <w:b/>
          <w:i/>
          <w:lang w:eastAsia="en-AU" w:bidi="ar-SA"/>
        </w:rPr>
        <w:t>electrolyte drink</w:t>
      </w:r>
      <w:r w:rsidRPr="0064124A">
        <w:rPr>
          <w:i/>
          <w:lang w:eastAsia="en-AU" w:bidi="ar-SA"/>
        </w:rPr>
        <w:t xml:space="preserve"> means a drink formulated for the rapid replacement of fluid and electrolytes </w:t>
      </w:r>
      <w:r w:rsidR="00D7586C">
        <w:rPr>
          <w:i/>
          <w:lang w:eastAsia="en-AU" w:bidi="ar-SA"/>
        </w:rPr>
        <w:t>during or after</w:t>
      </w:r>
      <w:r w:rsidRPr="0064124A">
        <w:rPr>
          <w:i/>
          <w:lang w:eastAsia="en-AU" w:bidi="ar-SA"/>
        </w:rPr>
        <w:t xml:space="preserve"> </w:t>
      </w:r>
      <w:r w:rsidR="00F475E5" w:rsidRPr="0064124A">
        <w:rPr>
          <w:i/>
          <w:lang w:eastAsia="en-AU" w:bidi="ar-SA"/>
        </w:rPr>
        <w:t xml:space="preserve">60 minutes </w:t>
      </w:r>
      <w:r w:rsidR="00F1412F">
        <w:rPr>
          <w:i/>
          <w:lang w:eastAsia="en-AU" w:bidi="ar-SA"/>
        </w:rPr>
        <w:t xml:space="preserve">or more of </w:t>
      </w:r>
      <w:r w:rsidRPr="0064124A">
        <w:rPr>
          <w:i/>
          <w:lang w:eastAsia="en-AU" w:bidi="ar-SA"/>
        </w:rPr>
        <w:t>sustained strenuous physical activity.</w:t>
      </w:r>
      <w:r w:rsidRPr="0064124A">
        <w:rPr>
          <w:lang w:eastAsia="en-AU" w:bidi="ar-SA"/>
        </w:rPr>
        <w:t xml:space="preserve"> </w:t>
      </w:r>
    </w:p>
    <w:p w14:paraId="7204A578" w14:textId="79D3A19F" w:rsidR="00EB2299" w:rsidRDefault="00E231F4" w:rsidP="00424BD1">
      <w:pPr>
        <w:widowControl/>
        <w:spacing w:before="120" w:after="120"/>
        <w:rPr>
          <w:lang w:eastAsia="en-AU" w:bidi="ar-SA"/>
        </w:rPr>
      </w:pPr>
      <w:r>
        <w:rPr>
          <w:lang w:eastAsia="en-AU" w:bidi="ar-SA"/>
        </w:rPr>
        <w:t xml:space="preserve">FSANZ proposes to retain </w:t>
      </w:r>
      <w:r w:rsidR="00B24364">
        <w:rPr>
          <w:lang w:eastAsia="en-AU" w:bidi="ar-SA"/>
        </w:rPr>
        <w:t xml:space="preserve">the amendment </w:t>
      </w:r>
      <w:r w:rsidR="00D3646B">
        <w:rPr>
          <w:lang w:eastAsia="en-AU" w:bidi="ar-SA"/>
        </w:rPr>
        <w:t xml:space="preserve">to the definition proposed </w:t>
      </w:r>
      <w:r w:rsidR="00B24364">
        <w:rPr>
          <w:lang w:eastAsia="en-AU" w:bidi="ar-SA"/>
        </w:rPr>
        <w:t xml:space="preserve">in 2014 </w:t>
      </w:r>
      <w:r w:rsidR="00D3646B">
        <w:rPr>
          <w:lang w:eastAsia="en-AU" w:bidi="ar-SA"/>
        </w:rPr>
        <w:t>in relation to only</w:t>
      </w:r>
      <w:r w:rsidR="00D3646B" w:rsidDel="00D3646B">
        <w:rPr>
          <w:lang w:eastAsia="en-AU" w:bidi="ar-SA"/>
        </w:rPr>
        <w:t xml:space="preserve"> </w:t>
      </w:r>
      <w:r w:rsidR="00B24364">
        <w:rPr>
          <w:lang w:eastAsia="en-AU" w:bidi="ar-SA"/>
        </w:rPr>
        <w:t>refer</w:t>
      </w:r>
      <w:r w:rsidR="00D3646B">
        <w:rPr>
          <w:lang w:eastAsia="en-AU" w:bidi="ar-SA"/>
        </w:rPr>
        <w:t xml:space="preserve">ring </w:t>
      </w:r>
      <w:r>
        <w:rPr>
          <w:lang w:eastAsia="en-AU" w:bidi="ar-SA"/>
        </w:rPr>
        <w:t xml:space="preserve">to ‘formulated for’ rather than </w:t>
      </w:r>
      <w:r w:rsidR="00D3646B">
        <w:rPr>
          <w:lang w:eastAsia="en-AU" w:bidi="ar-SA"/>
        </w:rPr>
        <w:t>including</w:t>
      </w:r>
      <w:r>
        <w:rPr>
          <w:lang w:eastAsia="en-AU" w:bidi="ar-SA"/>
        </w:rPr>
        <w:t xml:space="preserve"> ‘represented as’, because </w:t>
      </w:r>
      <w:r w:rsidR="004B3506">
        <w:rPr>
          <w:lang w:eastAsia="en-AU" w:bidi="ar-SA"/>
        </w:rPr>
        <w:t xml:space="preserve">‘formulated for’ </w:t>
      </w:r>
      <w:r>
        <w:rPr>
          <w:lang w:eastAsia="en-AU" w:bidi="ar-SA"/>
        </w:rPr>
        <w:t>provides for alignment with the compositional requirements in Standard 2.6.</w:t>
      </w:r>
      <w:r w:rsidRPr="00EF1003">
        <w:rPr>
          <w:lang w:eastAsia="en-AU" w:bidi="ar-SA"/>
        </w:rPr>
        <w:t>2</w:t>
      </w:r>
      <w:r w:rsidR="00183199" w:rsidRPr="00EF1003">
        <w:rPr>
          <w:lang w:eastAsia="en-AU" w:bidi="ar-SA"/>
        </w:rPr>
        <w:t xml:space="preserve">. </w:t>
      </w:r>
      <w:r w:rsidR="00F1412F">
        <w:rPr>
          <w:lang w:eastAsia="en-AU" w:bidi="ar-SA"/>
        </w:rPr>
        <w:t>Also</w:t>
      </w:r>
      <w:r w:rsidRPr="00EF1003">
        <w:rPr>
          <w:lang w:eastAsia="en-AU" w:bidi="ar-SA"/>
        </w:rPr>
        <w:t xml:space="preserve">, no enforcement agencies expressed concern </w:t>
      </w:r>
      <w:r w:rsidR="000626B8">
        <w:rPr>
          <w:lang w:eastAsia="en-AU" w:bidi="ar-SA"/>
        </w:rPr>
        <w:t xml:space="preserve">or provided evidence </w:t>
      </w:r>
      <w:r w:rsidRPr="00EF1003">
        <w:rPr>
          <w:lang w:eastAsia="en-AU" w:bidi="ar-SA"/>
        </w:rPr>
        <w:t xml:space="preserve">in submissions </w:t>
      </w:r>
      <w:r w:rsidR="005C4205" w:rsidRPr="00EF1003">
        <w:rPr>
          <w:lang w:eastAsia="en-AU" w:bidi="ar-SA"/>
        </w:rPr>
        <w:t xml:space="preserve">about </w:t>
      </w:r>
      <w:r w:rsidR="000626B8">
        <w:rPr>
          <w:lang w:eastAsia="en-AU" w:bidi="ar-SA"/>
        </w:rPr>
        <w:t>any inability</w:t>
      </w:r>
      <w:r w:rsidR="005C4205">
        <w:rPr>
          <w:lang w:eastAsia="en-AU" w:bidi="ar-SA"/>
        </w:rPr>
        <w:t xml:space="preserve"> to enforce</w:t>
      </w:r>
      <w:r w:rsidR="00B24364">
        <w:rPr>
          <w:lang w:eastAsia="en-AU" w:bidi="ar-SA"/>
        </w:rPr>
        <w:t xml:space="preserve"> the Code </w:t>
      </w:r>
      <w:r w:rsidR="005C4205">
        <w:rPr>
          <w:lang w:eastAsia="en-AU" w:bidi="ar-SA"/>
        </w:rPr>
        <w:t>if the definition refer</w:t>
      </w:r>
      <w:r w:rsidR="00B24364">
        <w:rPr>
          <w:lang w:eastAsia="en-AU" w:bidi="ar-SA"/>
        </w:rPr>
        <w:t>red</w:t>
      </w:r>
      <w:r w:rsidR="005C4205">
        <w:rPr>
          <w:lang w:eastAsia="en-AU" w:bidi="ar-SA"/>
        </w:rPr>
        <w:t xml:space="preserve"> to</w:t>
      </w:r>
      <w:r w:rsidR="00B24364">
        <w:rPr>
          <w:lang w:eastAsia="en-AU" w:bidi="ar-SA"/>
        </w:rPr>
        <w:t xml:space="preserve"> only</w:t>
      </w:r>
      <w:r w:rsidR="005C4205">
        <w:rPr>
          <w:lang w:eastAsia="en-AU" w:bidi="ar-SA"/>
        </w:rPr>
        <w:t xml:space="preserve"> ‘formulated </w:t>
      </w:r>
      <w:r w:rsidR="004B3506">
        <w:rPr>
          <w:lang w:eastAsia="en-AU" w:bidi="ar-SA"/>
        </w:rPr>
        <w:t>for’</w:t>
      </w:r>
      <w:r w:rsidR="005C4205">
        <w:rPr>
          <w:lang w:eastAsia="en-AU" w:bidi="ar-SA"/>
        </w:rPr>
        <w:t xml:space="preserve">. </w:t>
      </w:r>
    </w:p>
    <w:p w14:paraId="00AAD498" w14:textId="6565F2B5" w:rsidR="00E70479" w:rsidRDefault="00E70479" w:rsidP="00424BD1">
      <w:pPr>
        <w:widowControl/>
        <w:spacing w:before="120" w:after="120"/>
        <w:rPr>
          <w:lang w:eastAsia="en-AU" w:bidi="ar-SA"/>
        </w:rPr>
      </w:pPr>
      <w:r>
        <w:rPr>
          <w:lang w:eastAsia="en-AU" w:bidi="ar-SA"/>
        </w:rPr>
        <w:t>Additionally</w:t>
      </w:r>
      <w:r w:rsidR="000A2313">
        <w:rPr>
          <w:lang w:eastAsia="en-AU" w:bidi="ar-SA"/>
        </w:rPr>
        <w:t>,</w:t>
      </w:r>
      <w:r>
        <w:rPr>
          <w:lang w:eastAsia="en-AU" w:bidi="ar-SA"/>
        </w:rPr>
        <w:t xml:space="preserve"> FSANZ notes the Code requires</w:t>
      </w:r>
      <w:r w:rsidRPr="00E70479">
        <w:rPr>
          <w:lang w:eastAsia="en-AU" w:bidi="ar-SA"/>
        </w:rPr>
        <w:t xml:space="preserve"> </w:t>
      </w:r>
      <w:r>
        <w:rPr>
          <w:lang w:eastAsia="en-AU" w:bidi="ar-SA"/>
        </w:rPr>
        <w:t xml:space="preserve">that </w:t>
      </w:r>
      <w:r w:rsidRPr="00E70479">
        <w:rPr>
          <w:lang w:eastAsia="en-AU" w:bidi="ar-SA"/>
        </w:rPr>
        <w:t xml:space="preserve">any requirement in Standard 2.6.2 must be met for any sale in which a purchaser is likely to assume that the food being sold was an electrolyte drink (sections 2.6.2—11(1) and 1.1.1—13). This would apply in addition to </w:t>
      </w:r>
      <w:r>
        <w:rPr>
          <w:lang w:eastAsia="en-AU" w:bidi="ar-SA"/>
        </w:rPr>
        <w:t xml:space="preserve">the general approach that </w:t>
      </w:r>
      <w:r w:rsidRPr="00E70479">
        <w:rPr>
          <w:lang w:eastAsia="en-AU" w:bidi="ar-SA"/>
        </w:rPr>
        <w:t xml:space="preserve">any food meeting the definition of ‘electrolyte drink’ </w:t>
      </w:r>
      <w:r>
        <w:rPr>
          <w:lang w:eastAsia="en-AU" w:bidi="ar-SA"/>
        </w:rPr>
        <w:t xml:space="preserve">would have to </w:t>
      </w:r>
      <w:r w:rsidRPr="00E70479">
        <w:rPr>
          <w:lang w:eastAsia="en-AU" w:bidi="ar-SA"/>
        </w:rPr>
        <w:t>meet the requirements for electrolyte drinks in Standard 2.6.2.</w:t>
      </w:r>
    </w:p>
    <w:p w14:paraId="1EDE5B81" w14:textId="26DF7F07" w:rsidR="00105B82" w:rsidRDefault="007A2A31" w:rsidP="00105B82">
      <w:pPr>
        <w:widowControl/>
        <w:spacing w:before="120" w:after="120"/>
        <w:rPr>
          <w:lang w:eastAsia="en-AU" w:bidi="ar-SA"/>
        </w:rPr>
      </w:pPr>
      <w:r>
        <w:rPr>
          <w:lang w:eastAsia="en-AU" w:bidi="ar-SA"/>
        </w:rPr>
        <w:t>FSANZ</w:t>
      </w:r>
      <w:r w:rsidR="000474F5">
        <w:rPr>
          <w:lang w:eastAsia="en-AU" w:bidi="ar-SA"/>
        </w:rPr>
        <w:t xml:space="preserve"> </w:t>
      </w:r>
      <w:r w:rsidR="000626B8">
        <w:rPr>
          <w:lang w:eastAsia="en-AU" w:bidi="ar-SA"/>
        </w:rPr>
        <w:t>is also proposing</w:t>
      </w:r>
      <w:r w:rsidR="000474F5">
        <w:rPr>
          <w:lang w:eastAsia="en-AU" w:bidi="ar-SA"/>
        </w:rPr>
        <w:t xml:space="preserve"> to reduce the minimum </w:t>
      </w:r>
      <w:r w:rsidR="0052629D">
        <w:rPr>
          <w:lang w:eastAsia="en-AU" w:bidi="ar-SA"/>
        </w:rPr>
        <w:t>carbohydrate</w:t>
      </w:r>
      <w:r w:rsidR="00204CD7">
        <w:rPr>
          <w:lang w:eastAsia="en-AU" w:bidi="ar-SA"/>
        </w:rPr>
        <w:t xml:space="preserve"> content </w:t>
      </w:r>
      <w:r w:rsidR="00F1412F">
        <w:rPr>
          <w:lang w:eastAsia="en-AU" w:bidi="ar-SA"/>
        </w:rPr>
        <w:t>of</w:t>
      </w:r>
      <w:r w:rsidR="00204CD7">
        <w:rPr>
          <w:lang w:eastAsia="en-AU" w:bidi="ar-SA"/>
        </w:rPr>
        <w:t xml:space="preserve"> an</w:t>
      </w:r>
      <w:r w:rsidR="00F30226">
        <w:rPr>
          <w:lang w:eastAsia="en-AU" w:bidi="ar-SA"/>
        </w:rPr>
        <w:t xml:space="preserve"> electrolyte drink </w:t>
      </w:r>
      <w:r w:rsidR="000474F5">
        <w:rPr>
          <w:lang w:eastAsia="en-AU" w:bidi="ar-SA"/>
        </w:rPr>
        <w:t xml:space="preserve">(see </w:t>
      </w:r>
      <w:r w:rsidR="003866C5">
        <w:rPr>
          <w:lang w:eastAsia="en-AU" w:bidi="ar-SA"/>
        </w:rPr>
        <w:t xml:space="preserve">Section </w:t>
      </w:r>
      <w:r w:rsidR="00935869">
        <w:rPr>
          <w:lang w:eastAsia="en-AU" w:bidi="ar-SA"/>
        </w:rPr>
        <w:t>2.3.3</w:t>
      </w:r>
      <w:r w:rsidR="003866C5">
        <w:rPr>
          <w:lang w:eastAsia="en-AU" w:bidi="ar-SA"/>
        </w:rPr>
        <w:t xml:space="preserve"> of this </w:t>
      </w:r>
      <w:r w:rsidR="00417F12">
        <w:rPr>
          <w:lang w:eastAsia="en-AU" w:bidi="ar-SA"/>
        </w:rPr>
        <w:t>C</w:t>
      </w:r>
      <w:r w:rsidR="003866C5">
        <w:rPr>
          <w:lang w:eastAsia="en-AU" w:bidi="ar-SA"/>
        </w:rPr>
        <w:t>onsultation paper</w:t>
      </w:r>
      <w:r w:rsidR="000474F5">
        <w:rPr>
          <w:lang w:eastAsia="en-AU" w:bidi="ar-SA"/>
        </w:rPr>
        <w:t>) and</w:t>
      </w:r>
      <w:r w:rsidR="004F6330">
        <w:rPr>
          <w:lang w:eastAsia="en-AU" w:bidi="ar-SA"/>
        </w:rPr>
        <w:t>, therefore</w:t>
      </w:r>
      <w:r w:rsidR="000474F5">
        <w:rPr>
          <w:lang w:eastAsia="en-AU" w:bidi="ar-SA"/>
        </w:rPr>
        <w:t xml:space="preserve"> </w:t>
      </w:r>
      <w:r>
        <w:rPr>
          <w:lang w:eastAsia="en-AU" w:bidi="ar-SA"/>
        </w:rPr>
        <w:t xml:space="preserve">considers </w:t>
      </w:r>
      <w:r w:rsidR="00050C32">
        <w:rPr>
          <w:lang w:eastAsia="en-AU" w:bidi="ar-SA"/>
        </w:rPr>
        <w:t>the</w:t>
      </w:r>
      <w:r w:rsidR="00F30226">
        <w:rPr>
          <w:lang w:eastAsia="en-AU" w:bidi="ar-SA"/>
        </w:rPr>
        <w:t xml:space="preserve"> electrolyte drink </w:t>
      </w:r>
      <w:r w:rsidR="00F1412F">
        <w:rPr>
          <w:lang w:eastAsia="en-AU" w:bidi="ar-SA"/>
        </w:rPr>
        <w:t xml:space="preserve">definition </w:t>
      </w:r>
      <w:r w:rsidR="00050C32">
        <w:rPr>
          <w:lang w:eastAsia="en-AU" w:bidi="ar-SA"/>
        </w:rPr>
        <w:t xml:space="preserve">should no longer </w:t>
      </w:r>
      <w:r w:rsidR="000474F5">
        <w:rPr>
          <w:lang w:eastAsia="en-AU" w:bidi="ar-SA"/>
        </w:rPr>
        <w:t>give prominence to</w:t>
      </w:r>
      <w:r w:rsidR="00050C32">
        <w:rPr>
          <w:lang w:eastAsia="en-AU" w:bidi="ar-SA"/>
        </w:rPr>
        <w:t xml:space="preserve"> </w:t>
      </w:r>
      <w:r w:rsidR="00F1412F">
        <w:rPr>
          <w:lang w:eastAsia="en-AU" w:bidi="ar-SA"/>
        </w:rPr>
        <w:t>replacement</w:t>
      </w:r>
      <w:r w:rsidR="00050C32">
        <w:rPr>
          <w:lang w:eastAsia="en-AU" w:bidi="ar-SA"/>
        </w:rPr>
        <w:t xml:space="preserve"> of </w:t>
      </w:r>
      <w:r w:rsidR="0052629D">
        <w:rPr>
          <w:lang w:eastAsia="en-AU" w:bidi="ar-SA"/>
        </w:rPr>
        <w:t>carbohydrate</w:t>
      </w:r>
      <w:r w:rsidR="003230C4">
        <w:rPr>
          <w:lang w:eastAsia="en-AU" w:bidi="ar-SA"/>
        </w:rPr>
        <w:t xml:space="preserve">. </w:t>
      </w:r>
      <w:r w:rsidR="00105B82">
        <w:rPr>
          <w:lang w:eastAsia="en-AU" w:bidi="ar-SA"/>
        </w:rPr>
        <w:t xml:space="preserve">The 2014 removal of minerals from the definition </w:t>
      </w:r>
      <w:r w:rsidR="004F6330">
        <w:rPr>
          <w:lang w:eastAsia="en-AU" w:bidi="ar-SA"/>
        </w:rPr>
        <w:t xml:space="preserve">is </w:t>
      </w:r>
      <w:r w:rsidR="00105B82">
        <w:rPr>
          <w:lang w:eastAsia="en-AU" w:bidi="ar-SA"/>
        </w:rPr>
        <w:t>maintained.</w:t>
      </w:r>
    </w:p>
    <w:p w14:paraId="7C01FA6B" w14:textId="50E6119B" w:rsidR="000474F5" w:rsidRDefault="003230C4" w:rsidP="00424BD1">
      <w:pPr>
        <w:widowControl/>
        <w:spacing w:before="120" w:after="120"/>
        <w:rPr>
          <w:lang w:eastAsia="en-AU" w:bidi="ar-SA"/>
        </w:rPr>
      </w:pPr>
      <w:r>
        <w:rPr>
          <w:lang w:eastAsia="en-AU" w:bidi="ar-SA"/>
        </w:rPr>
        <w:t xml:space="preserve">To address submitter requests </w:t>
      </w:r>
      <w:r w:rsidR="00F1412F">
        <w:rPr>
          <w:lang w:eastAsia="en-AU" w:bidi="ar-SA"/>
        </w:rPr>
        <w:t>to describe</w:t>
      </w:r>
      <w:r w:rsidR="000474F5">
        <w:rPr>
          <w:lang w:eastAsia="en-AU" w:bidi="ar-SA"/>
        </w:rPr>
        <w:t xml:space="preserve"> what is meant by </w:t>
      </w:r>
      <w:r w:rsidR="000474F5" w:rsidRPr="00105B82">
        <w:rPr>
          <w:u w:val="single"/>
          <w:lang w:eastAsia="en-AU" w:bidi="ar-SA"/>
        </w:rPr>
        <w:t>sustained</w:t>
      </w:r>
      <w:r w:rsidR="000474F5">
        <w:rPr>
          <w:lang w:eastAsia="en-AU" w:bidi="ar-SA"/>
        </w:rPr>
        <w:t xml:space="preserve"> strenuous physical activity</w:t>
      </w:r>
      <w:r w:rsidR="00050C32">
        <w:rPr>
          <w:lang w:eastAsia="en-AU" w:bidi="ar-SA"/>
        </w:rPr>
        <w:t xml:space="preserve">, </w:t>
      </w:r>
      <w:r w:rsidR="000474F5">
        <w:rPr>
          <w:lang w:eastAsia="en-AU" w:bidi="ar-SA"/>
        </w:rPr>
        <w:t>FSANZ has included a minimum time period of 60 minutes</w:t>
      </w:r>
      <w:r w:rsidR="00F1412F">
        <w:rPr>
          <w:lang w:eastAsia="en-AU" w:bidi="ar-SA"/>
        </w:rPr>
        <w:t xml:space="preserve"> </w:t>
      </w:r>
      <w:r w:rsidR="000474F5">
        <w:rPr>
          <w:lang w:eastAsia="en-AU" w:bidi="ar-SA"/>
        </w:rPr>
        <w:t xml:space="preserve">to explain the term </w:t>
      </w:r>
      <w:r w:rsidR="000474F5" w:rsidRPr="00CA62A5">
        <w:rPr>
          <w:i/>
          <w:lang w:eastAsia="en-AU" w:bidi="ar-SA"/>
        </w:rPr>
        <w:t>sustained</w:t>
      </w:r>
      <w:r w:rsidR="00CA62A5">
        <w:rPr>
          <w:i/>
          <w:lang w:eastAsia="en-AU" w:bidi="ar-SA"/>
        </w:rPr>
        <w:t xml:space="preserve"> </w:t>
      </w:r>
      <w:r w:rsidR="00CF60D4">
        <w:rPr>
          <w:lang w:eastAsia="en-AU" w:bidi="ar-SA"/>
        </w:rPr>
        <w:t>based on scientific evidence</w:t>
      </w:r>
      <w:r w:rsidR="00B24364">
        <w:rPr>
          <w:lang w:eastAsia="en-AU" w:bidi="ar-SA"/>
        </w:rPr>
        <w:t xml:space="preserve"> in SD1</w:t>
      </w:r>
      <w:r w:rsidR="000474F5">
        <w:rPr>
          <w:lang w:eastAsia="en-AU" w:bidi="ar-SA"/>
        </w:rPr>
        <w:t>.</w:t>
      </w:r>
      <w:r w:rsidR="00CF60D4">
        <w:rPr>
          <w:lang w:eastAsia="en-AU" w:bidi="ar-SA"/>
        </w:rPr>
        <w:t xml:space="preserve"> </w:t>
      </w:r>
      <w:r w:rsidR="00CA62A5">
        <w:rPr>
          <w:lang w:eastAsia="en-AU" w:bidi="ar-SA"/>
        </w:rPr>
        <w:t xml:space="preserve">In this context, definitions of other terms such as </w:t>
      </w:r>
      <w:r w:rsidR="00CA62A5" w:rsidRPr="00CA62A5">
        <w:rPr>
          <w:i/>
          <w:lang w:eastAsia="en-AU" w:bidi="ar-SA"/>
        </w:rPr>
        <w:t>strenuous</w:t>
      </w:r>
      <w:r w:rsidR="00CA62A5">
        <w:rPr>
          <w:lang w:eastAsia="en-AU" w:bidi="ar-SA"/>
        </w:rPr>
        <w:t xml:space="preserve"> and </w:t>
      </w:r>
      <w:r w:rsidR="00CA62A5" w:rsidRPr="00CA62A5">
        <w:rPr>
          <w:i/>
          <w:lang w:eastAsia="en-AU" w:bidi="ar-SA"/>
        </w:rPr>
        <w:t>rapid</w:t>
      </w:r>
      <w:r w:rsidR="004B246D">
        <w:rPr>
          <w:i/>
          <w:lang w:eastAsia="en-AU" w:bidi="ar-SA"/>
        </w:rPr>
        <w:t xml:space="preserve"> replacement</w:t>
      </w:r>
      <w:r w:rsidR="00CA62A5">
        <w:rPr>
          <w:lang w:eastAsia="en-AU" w:bidi="ar-SA"/>
        </w:rPr>
        <w:t>, have been left to their ordinary meaning</w:t>
      </w:r>
      <w:r w:rsidR="004B246D">
        <w:rPr>
          <w:lang w:eastAsia="en-AU" w:bidi="ar-SA"/>
        </w:rPr>
        <w:t>s</w:t>
      </w:r>
      <w:r w:rsidR="00CA62A5">
        <w:rPr>
          <w:lang w:eastAsia="en-AU" w:bidi="ar-SA"/>
        </w:rPr>
        <w:t xml:space="preserve">. </w:t>
      </w:r>
    </w:p>
    <w:p w14:paraId="467819F7" w14:textId="0866D60F" w:rsidR="005C4205" w:rsidRPr="00D7586C" w:rsidRDefault="00765BC1" w:rsidP="00424BD1">
      <w:pPr>
        <w:widowControl/>
        <w:spacing w:before="120" w:after="120"/>
        <w:rPr>
          <w:lang w:eastAsia="en-AU" w:bidi="ar-SA"/>
        </w:rPr>
      </w:pPr>
      <w:r>
        <w:rPr>
          <w:lang w:eastAsia="en-AU" w:bidi="ar-SA"/>
        </w:rPr>
        <w:t xml:space="preserve">No </w:t>
      </w:r>
      <w:r w:rsidR="00F1412F">
        <w:rPr>
          <w:lang w:eastAsia="en-AU" w:bidi="ar-SA"/>
        </w:rPr>
        <w:t xml:space="preserve">change </w:t>
      </w:r>
      <w:r>
        <w:rPr>
          <w:lang w:eastAsia="en-AU" w:bidi="ar-SA"/>
        </w:rPr>
        <w:t xml:space="preserve">is </w:t>
      </w:r>
      <w:r w:rsidRPr="00D7586C">
        <w:rPr>
          <w:lang w:eastAsia="en-AU" w:bidi="ar-SA"/>
        </w:rPr>
        <w:t>propose</w:t>
      </w:r>
      <w:r>
        <w:rPr>
          <w:lang w:eastAsia="en-AU" w:bidi="ar-SA"/>
        </w:rPr>
        <w:t xml:space="preserve">d </w:t>
      </w:r>
      <w:r w:rsidR="00F1412F">
        <w:rPr>
          <w:lang w:eastAsia="en-AU" w:bidi="ar-SA"/>
        </w:rPr>
        <w:t xml:space="preserve">to </w:t>
      </w:r>
      <w:r w:rsidR="005C4205" w:rsidRPr="00D7586C">
        <w:rPr>
          <w:lang w:eastAsia="en-AU" w:bidi="ar-SA"/>
        </w:rPr>
        <w:t>the definition of an</w:t>
      </w:r>
      <w:r w:rsidR="00F30226">
        <w:rPr>
          <w:lang w:eastAsia="en-AU" w:bidi="ar-SA"/>
        </w:rPr>
        <w:t xml:space="preserve"> electrolyte drink </w:t>
      </w:r>
      <w:r w:rsidR="005C4205" w:rsidRPr="00D7586C">
        <w:rPr>
          <w:lang w:eastAsia="en-AU" w:bidi="ar-SA"/>
        </w:rPr>
        <w:t>base (i.e</w:t>
      </w:r>
      <w:r w:rsidR="005C4205" w:rsidRPr="00D7586C">
        <w:rPr>
          <w:i/>
          <w:lang w:eastAsia="en-AU" w:bidi="ar-SA"/>
        </w:rPr>
        <w:t>. a solid or liquid which, when made up, makes an electrolyte drink.</w:t>
      </w:r>
      <w:r w:rsidR="005C4205" w:rsidRPr="00D7586C">
        <w:rPr>
          <w:lang w:eastAsia="en-AU" w:bidi="ar-SA"/>
        </w:rPr>
        <w:t xml:space="preserve">).  </w:t>
      </w:r>
    </w:p>
    <w:p w14:paraId="0812ACE3" w14:textId="55FA9BE0" w:rsidR="0023479A" w:rsidRPr="00965DE2" w:rsidRDefault="0023479A" w:rsidP="00965DE2">
      <w:pPr>
        <w:pStyle w:val="Heading3"/>
      </w:pPr>
      <w:bookmarkStart w:id="166" w:name="_Toc63342496"/>
      <w:bookmarkStart w:id="167" w:name="_Toc71711634"/>
      <w:bookmarkStart w:id="168" w:name="_Toc72673568"/>
      <w:bookmarkStart w:id="169" w:name="_Toc60825002"/>
      <w:bookmarkStart w:id="170" w:name="_Toc61442308"/>
      <w:bookmarkStart w:id="171" w:name="_Toc61449852"/>
      <w:r w:rsidRPr="00965DE2">
        <w:t>2.3.</w:t>
      </w:r>
      <w:r w:rsidR="00FF18B5" w:rsidRPr="00965DE2">
        <w:t>3</w:t>
      </w:r>
      <w:r w:rsidRPr="00965DE2">
        <w:tab/>
        <w:t xml:space="preserve">Minimum </w:t>
      </w:r>
      <w:r w:rsidR="00E473E3" w:rsidRPr="00965DE2">
        <w:t xml:space="preserve">amount of </w:t>
      </w:r>
      <w:r w:rsidRPr="00965DE2">
        <w:t>carbohydrate</w:t>
      </w:r>
      <w:r w:rsidR="00E546E6" w:rsidRPr="00965DE2">
        <w:t xml:space="preserve"> g/L</w:t>
      </w:r>
      <w:bookmarkEnd w:id="166"/>
      <w:bookmarkEnd w:id="167"/>
      <w:bookmarkEnd w:id="168"/>
      <w:r w:rsidR="00370497" w:rsidRPr="00965DE2">
        <w:t xml:space="preserve"> </w:t>
      </w:r>
      <w:bookmarkEnd w:id="169"/>
      <w:bookmarkEnd w:id="170"/>
      <w:bookmarkEnd w:id="171"/>
    </w:p>
    <w:p w14:paraId="4F7F4805" w14:textId="36408E32" w:rsidR="0023479A" w:rsidRPr="00D70D72" w:rsidRDefault="0023479A" w:rsidP="00424BD1">
      <w:pPr>
        <w:pStyle w:val="Heading4"/>
        <w:keepNext w:val="0"/>
        <w:widowControl/>
        <w:spacing w:before="120" w:after="120"/>
        <w:rPr>
          <w:lang w:eastAsia="en-AU"/>
        </w:rPr>
      </w:pPr>
      <w:r>
        <w:rPr>
          <w:lang w:eastAsia="en-AU"/>
        </w:rPr>
        <w:t>2.3.</w:t>
      </w:r>
      <w:r w:rsidR="00FF18B5">
        <w:rPr>
          <w:lang w:eastAsia="en-AU"/>
        </w:rPr>
        <w:t>3</w:t>
      </w:r>
      <w:r>
        <w:rPr>
          <w:lang w:eastAsia="en-AU"/>
        </w:rPr>
        <w:t>.1</w:t>
      </w:r>
      <w:r w:rsidRPr="00D70D72">
        <w:rPr>
          <w:lang w:eastAsia="en-AU"/>
        </w:rPr>
        <w:tab/>
        <w:t>Approach in 2014 Call for submissions</w:t>
      </w:r>
    </w:p>
    <w:p w14:paraId="58E99E97" w14:textId="62FFC066" w:rsidR="00890D35" w:rsidRPr="00890D35" w:rsidRDefault="0023479A" w:rsidP="00890D35">
      <w:r w:rsidRPr="00890D35">
        <w:t xml:space="preserve">The </w:t>
      </w:r>
      <w:r w:rsidR="00CF60D4" w:rsidRPr="00890D35">
        <w:t>2014</w:t>
      </w:r>
      <w:r w:rsidRPr="00890D35">
        <w:t xml:space="preserve"> </w:t>
      </w:r>
      <w:r w:rsidR="0014120C" w:rsidRPr="00890D35">
        <w:t xml:space="preserve">proposal </w:t>
      </w:r>
      <w:r w:rsidRPr="00890D35">
        <w:t>did not consider</w:t>
      </w:r>
      <w:r w:rsidR="00CF60D4" w:rsidRPr="00890D35">
        <w:t xml:space="preserve"> changing</w:t>
      </w:r>
      <w:r w:rsidRPr="00890D35">
        <w:t xml:space="preserve"> the minimum level of </w:t>
      </w:r>
      <w:r w:rsidR="0052629D">
        <w:t>carbohydrate</w:t>
      </w:r>
      <w:r w:rsidRPr="00890D35">
        <w:t xml:space="preserve"> in</w:t>
      </w:r>
      <w:r w:rsidR="0052629D">
        <w:t xml:space="preserve"> electrolyte drinks.</w:t>
      </w:r>
      <w:r w:rsidR="00CF60D4" w:rsidRPr="00890D35">
        <w:t xml:space="preserve"> </w:t>
      </w:r>
      <w:r w:rsidR="00890D35" w:rsidRPr="00890D35">
        <w:t xml:space="preserve">One industry submitter recommended a lower </w:t>
      </w:r>
      <w:r w:rsidR="0052629D">
        <w:t>carbohydrate</w:t>
      </w:r>
      <w:r w:rsidR="00890D35" w:rsidRPr="00890D35">
        <w:t xml:space="preserve"> threshold to encompass hypotonic beverages. Jurisdictions also highlighted the importance of reviewing the current scientific literature to determine the optimal</w:t>
      </w:r>
      <w:r w:rsidR="00F30226">
        <w:t xml:space="preserve"> electrolyte drink </w:t>
      </w:r>
      <w:r w:rsidR="00890D35" w:rsidRPr="00890D35">
        <w:t>composition. </w:t>
      </w:r>
      <w:r w:rsidR="00EA7E55">
        <w:t xml:space="preserve"> </w:t>
      </w:r>
    </w:p>
    <w:p w14:paraId="6FBFBC6D" w14:textId="1B65535E" w:rsidR="0023479A" w:rsidRDefault="0023479A" w:rsidP="00424BD1">
      <w:pPr>
        <w:pStyle w:val="Heading4"/>
        <w:keepNext w:val="0"/>
        <w:widowControl/>
        <w:spacing w:before="120" w:after="120"/>
        <w:rPr>
          <w:lang w:eastAsia="en-AU"/>
        </w:rPr>
      </w:pPr>
      <w:r>
        <w:rPr>
          <w:lang w:eastAsia="en-AU"/>
        </w:rPr>
        <w:t>2.3.</w:t>
      </w:r>
      <w:r w:rsidR="00FF18B5">
        <w:rPr>
          <w:lang w:eastAsia="en-AU"/>
        </w:rPr>
        <w:t>3</w:t>
      </w:r>
      <w:r>
        <w:rPr>
          <w:lang w:eastAsia="en-AU"/>
        </w:rPr>
        <w:t>.2</w:t>
      </w:r>
      <w:r>
        <w:rPr>
          <w:lang w:eastAsia="en-AU"/>
        </w:rPr>
        <w:tab/>
        <w:t xml:space="preserve">Proposed </w:t>
      </w:r>
      <w:r w:rsidR="00B25E13">
        <w:rPr>
          <w:lang w:eastAsia="en-AU"/>
        </w:rPr>
        <w:t xml:space="preserve">new </w:t>
      </w:r>
      <w:r w:rsidRPr="00EF1003">
        <w:rPr>
          <w:lang w:eastAsia="en-AU"/>
        </w:rPr>
        <w:t xml:space="preserve">approach </w:t>
      </w:r>
    </w:p>
    <w:p w14:paraId="0AF56845" w14:textId="6718EB2F" w:rsidR="00B936B2" w:rsidRDefault="0023479A" w:rsidP="00424BD1">
      <w:pPr>
        <w:widowControl/>
        <w:spacing w:before="120" w:after="120"/>
      </w:pPr>
      <w:r w:rsidRPr="00B04183">
        <w:rPr>
          <w:lang w:eastAsia="en-AU" w:bidi="ar-SA"/>
        </w:rPr>
        <w:t>Following</w:t>
      </w:r>
      <w:r w:rsidR="00C46618" w:rsidRPr="00B04183">
        <w:rPr>
          <w:lang w:eastAsia="en-AU" w:bidi="ar-SA"/>
        </w:rPr>
        <w:t xml:space="preserve"> submitter comments</w:t>
      </w:r>
      <w:r w:rsidR="00EA7E55">
        <w:rPr>
          <w:lang w:eastAsia="en-AU" w:bidi="ar-SA"/>
        </w:rPr>
        <w:t xml:space="preserve"> and</w:t>
      </w:r>
      <w:r w:rsidR="00B25D37">
        <w:rPr>
          <w:lang w:eastAsia="en-AU" w:bidi="ar-SA"/>
        </w:rPr>
        <w:t xml:space="preserve"> </w:t>
      </w:r>
      <w:r w:rsidRPr="00EE62D7">
        <w:rPr>
          <w:lang w:eastAsia="en-AU" w:bidi="ar-SA"/>
        </w:rPr>
        <w:t>representations</w:t>
      </w:r>
      <w:r w:rsidR="00C46618" w:rsidRPr="00EE62D7">
        <w:rPr>
          <w:lang w:eastAsia="en-AU" w:bidi="ar-SA"/>
        </w:rPr>
        <w:t xml:space="preserve"> f</w:t>
      </w:r>
      <w:r w:rsidR="00C46618" w:rsidRPr="00B04183">
        <w:rPr>
          <w:lang w:eastAsia="en-AU" w:bidi="ar-SA"/>
        </w:rPr>
        <w:t>rom the beverage industry</w:t>
      </w:r>
      <w:r w:rsidR="00EA7E55">
        <w:rPr>
          <w:lang w:eastAsia="en-AU" w:bidi="ar-SA"/>
        </w:rPr>
        <w:t>,</w:t>
      </w:r>
      <w:r w:rsidR="00500AFE" w:rsidRPr="00B04183" w:rsidDel="00C46618">
        <w:rPr>
          <w:lang w:eastAsia="en-AU" w:bidi="ar-SA"/>
        </w:rPr>
        <w:t xml:space="preserve"> </w:t>
      </w:r>
      <w:r w:rsidRPr="00B04183">
        <w:rPr>
          <w:lang w:eastAsia="en-AU" w:bidi="ar-SA"/>
        </w:rPr>
        <w:t>on</w:t>
      </w:r>
      <w:r>
        <w:rPr>
          <w:lang w:eastAsia="en-AU" w:bidi="ar-SA"/>
        </w:rPr>
        <w:t xml:space="preserve"> the </w:t>
      </w:r>
      <w:r w:rsidR="001F203D">
        <w:rPr>
          <w:lang w:eastAsia="en-AU" w:bidi="ar-SA"/>
        </w:rPr>
        <w:t>limitation</w:t>
      </w:r>
      <w:r w:rsidR="002E1D20">
        <w:rPr>
          <w:lang w:eastAsia="en-AU" w:bidi="ar-SA"/>
        </w:rPr>
        <w:t xml:space="preserve"> of the </w:t>
      </w:r>
      <w:r w:rsidR="00EA5E5A">
        <w:rPr>
          <w:lang w:eastAsia="en-AU" w:bidi="ar-SA"/>
        </w:rPr>
        <w:t xml:space="preserve">prescribed </w:t>
      </w:r>
      <w:r w:rsidR="002E1D20">
        <w:rPr>
          <w:lang w:eastAsia="en-AU" w:bidi="ar-SA"/>
        </w:rPr>
        <w:t xml:space="preserve">minimum </w:t>
      </w:r>
      <w:r w:rsidR="00EA5E5A">
        <w:rPr>
          <w:lang w:eastAsia="en-AU" w:bidi="ar-SA"/>
        </w:rPr>
        <w:t xml:space="preserve">50 g/L </w:t>
      </w:r>
      <w:r w:rsidR="0052629D">
        <w:rPr>
          <w:lang w:eastAsia="en-AU" w:bidi="ar-SA"/>
        </w:rPr>
        <w:t>carbohydrate</w:t>
      </w:r>
      <w:r w:rsidR="00EA5E5A" w:rsidRPr="00EA5E5A">
        <w:rPr>
          <w:lang w:eastAsia="en-AU" w:bidi="ar-SA"/>
        </w:rPr>
        <w:t xml:space="preserve"> </w:t>
      </w:r>
      <w:r w:rsidR="00EA5E5A">
        <w:rPr>
          <w:lang w:eastAsia="en-AU" w:bidi="ar-SA"/>
        </w:rPr>
        <w:t>content of</w:t>
      </w:r>
      <w:r w:rsidR="00F30226">
        <w:rPr>
          <w:lang w:eastAsia="en-AU" w:bidi="ar-SA"/>
        </w:rPr>
        <w:t xml:space="preserve"> electrolyte drinks </w:t>
      </w:r>
      <w:r w:rsidR="0062403E" w:rsidRPr="00ED2BFE">
        <w:rPr>
          <w:lang w:eastAsia="en-AU" w:bidi="ar-SA"/>
        </w:rPr>
        <w:t xml:space="preserve">(see </w:t>
      </w:r>
      <w:r w:rsidR="0043543F">
        <w:rPr>
          <w:lang w:eastAsia="en-AU" w:bidi="ar-SA"/>
        </w:rPr>
        <w:t>S</w:t>
      </w:r>
      <w:r w:rsidR="0043543F" w:rsidRPr="00ED2BFE">
        <w:rPr>
          <w:lang w:eastAsia="en-AU" w:bidi="ar-SA"/>
        </w:rPr>
        <w:t xml:space="preserve">ection </w:t>
      </w:r>
      <w:r w:rsidR="002E1D20" w:rsidRPr="00ED2BFE">
        <w:rPr>
          <w:lang w:eastAsia="en-AU" w:bidi="ar-SA"/>
        </w:rPr>
        <w:t>1.</w:t>
      </w:r>
      <w:r w:rsidR="00D45B7E" w:rsidRPr="00ED2BFE">
        <w:rPr>
          <w:lang w:eastAsia="en-AU" w:bidi="ar-SA"/>
        </w:rPr>
        <w:t>2</w:t>
      </w:r>
      <w:r w:rsidR="0043543F">
        <w:rPr>
          <w:lang w:eastAsia="en-AU" w:bidi="ar-SA"/>
        </w:rPr>
        <w:t xml:space="preserve"> </w:t>
      </w:r>
      <w:r w:rsidR="0043543F">
        <w:t xml:space="preserve">of this </w:t>
      </w:r>
      <w:r w:rsidR="00417F12">
        <w:t>C</w:t>
      </w:r>
      <w:r w:rsidR="0043543F">
        <w:t>onsultation paper</w:t>
      </w:r>
      <w:r w:rsidR="002E1D20">
        <w:rPr>
          <w:lang w:eastAsia="en-AU" w:bidi="ar-SA"/>
        </w:rPr>
        <w:t>)</w:t>
      </w:r>
      <w:r>
        <w:rPr>
          <w:lang w:eastAsia="en-AU" w:bidi="ar-SA"/>
        </w:rPr>
        <w:t xml:space="preserve">, </w:t>
      </w:r>
      <w:r w:rsidR="00B25D37">
        <w:rPr>
          <w:lang w:eastAsia="en-AU" w:bidi="ar-SA"/>
        </w:rPr>
        <w:t xml:space="preserve">together with </w:t>
      </w:r>
      <w:r w:rsidR="00EA7E55">
        <w:rPr>
          <w:lang w:eastAsia="en-AU" w:bidi="ar-SA"/>
        </w:rPr>
        <w:t xml:space="preserve">recent </w:t>
      </w:r>
      <w:r w:rsidR="00B25D37">
        <w:rPr>
          <w:lang w:eastAsia="en-AU" w:bidi="ar-SA"/>
        </w:rPr>
        <w:t xml:space="preserve">market developments, </w:t>
      </w:r>
      <w:r>
        <w:rPr>
          <w:lang w:eastAsia="en-AU" w:bidi="ar-SA"/>
        </w:rPr>
        <w:t xml:space="preserve">FSANZ </w:t>
      </w:r>
      <w:r w:rsidR="00935869">
        <w:rPr>
          <w:lang w:eastAsia="en-AU" w:bidi="ar-SA"/>
        </w:rPr>
        <w:t xml:space="preserve">has </w:t>
      </w:r>
      <w:r>
        <w:rPr>
          <w:lang w:eastAsia="en-AU" w:bidi="ar-SA"/>
        </w:rPr>
        <w:t>review</w:t>
      </w:r>
      <w:r w:rsidR="00935869">
        <w:rPr>
          <w:lang w:eastAsia="en-AU" w:bidi="ar-SA"/>
        </w:rPr>
        <w:t>ed</w:t>
      </w:r>
      <w:r>
        <w:rPr>
          <w:lang w:eastAsia="en-AU" w:bidi="ar-SA"/>
        </w:rPr>
        <w:t xml:space="preserve"> the scientific evidence </w:t>
      </w:r>
      <w:r>
        <w:t>to determine if low</w:t>
      </w:r>
      <w:r w:rsidR="00B936B2">
        <w:t>er</w:t>
      </w:r>
      <w:r>
        <w:t xml:space="preserve"> </w:t>
      </w:r>
      <w:r w:rsidR="0052629D">
        <w:t>carbohydrate</w:t>
      </w:r>
      <w:r>
        <w:t xml:space="preserve"> </w:t>
      </w:r>
      <w:r w:rsidRPr="00EA5E5A">
        <w:t>(</w:t>
      </w:r>
      <w:r>
        <w:t>&lt;5</w:t>
      </w:r>
      <w:r w:rsidR="008B1709">
        <w:t>0 g/L</w:t>
      </w:r>
      <w:r>
        <w:t>)</w:t>
      </w:r>
      <w:r w:rsidR="00F30226">
        <w:t xml:space="preserve"> electrolyte drinks </w:t>
      </w:r>
      <w:r>
        <w:t>ha</w:t>
      </w:r>
      <w:r w:rsidR="00EA5E5A">
        <w:t>d</w:t>
      </w:r>
      <w:r>
        <w:t xml:space="preserve"> a similar effect on re</w:t>
      </w:r>
      <w:r w:rsidR="00AB5913">
        <w:t>/</w:t>
      </w:r>
      <w:r>
        <w:t xml:space="preserve">hydration and </w:t>
      </w:r>
      <w:r w:rsidR="0062403E">
        <w:t>physical</w:t>
      </w:r>
      <w:r>
        <w:t xml:space="preserve"> performance as those currently permitted </w:t>
      </w:r>
      <w:r w:rsidR="00EA5E5A">
        <w:t>by</w:t>
      </w:r>
      <w:r>
        <w:t xml:space="preserve"> </w:t>
      </w:r>
      <w:r w:rsidR="00594ADB">
        <w:t>Standard 2.6.2</w:t>
      </w:r>
      <w:r w:rsidR="00EA5E5A">
        <w:t xml:space="preserve"> (5</w:t>
      </w:r>
      <w:r w:rsidR="008B1709">
        <w:t>0</w:t>
      </w:r>
      <w:r w:rsidR="001A6F5D">
        <w:t>-</w:t>
      </w:r>
      <w:r w:rsidR="00EA5E5A">
        <w:t>10</w:t>
      </w:r>
      <w:r w:rsidR="008B1709">
        <w:t>0 g/L</w:t>
      </w:r>
      <w:r w:rsidR="00EA5E5A">
        <w:t>)</w:t>
      </w:r>
      <w:r>
        <w:t xml:space="preserve">. </w:t>
      </w:r>
    </w:p>
    <w:p w14:paraId="771119B3" w14:textId="15AF92E3" w:rsidR="00493DEB" w:rsidRDefault="008B1709" w:rsidP="00424BD1">
      <w:pPr>
        <w:widowControl/>
        <w:spacing w:before="120" w:after="120"/>
      </w:pPr>
      <w:r>
        <w:t>On the basis of</w:t>
      </w:r>
      <w:r w:rsidR="0023479A">
        <w:t xml:space="preserve"> the</w:t>
      </w:r>
      <w:r w:rsidR="00EA5E5A">
        <w:t xml:space="preserve"> risk assessment conclusion </w:t>
      </w:r>
      <w:r w:rsidR="00500AFE">
        <w:t>(</w:t>
      </w:r>
      <w:r w:rsidR="0043543F">
        <w:t xml:space="preserve">Section </w:t>
      </w:r>
      <w:r w:rsidR="00594ADB">
        <w:t>2.2</w:t>
      </w:r>
      <w:r w:rsidR="00500AFE">
        <w:t xml:space="preserve"> </w:t>
      </w:r>
      <w:r w:rsidR="0043543F">
        <w:t xml:space="preserve">of this </w:t>
      </w:r>
      <w:r w:rsidR="00417F12">
        <w:t>C</w:t>
      </w:r>
      <w:r w:rsidR="0043543F">
        <w:t xml:space="preserve">onsultation paper </w:t>
      </w:r>
      <w:r w:rsidR="00500AFE">
        <w:t xml:space="preserve">and SD1) </w:t>
      </w:r>
      <w:r w:rsidR="00EA5E5A">
        <w:t>that no clear difference exists between</w:t>
      </w:r>
      <w:r w:rsidR="00F30226">
        <w:t xml:space="preserve"> electrolyte drinks </w:t>
      </w:r>
      <w:r>
        <w:t xml:space="preserve">with </w:t>
      </w:r>
      <w:r w:rsidR="0062403E">
        <w:t>20</w:t>
      </w:r>
      <w:r w:rsidR="001A6F5D">
        <w:t>-</w:t>
      </w:r>
      <w:r w:rsidR="00EA5E5A">
        <w:lastRenderedPageBreak/>
        <w:t>5</w:t>
      </w:r>
      <w:r>
        <w:t>0 g/L</w:t>
      </w:r>
      <w:r w:rsidR="00EA5E5A">
        <w:t xml:space="preserve"> </w:t>
      </w:r>
      <w:r w:rsidR="0052629D">
        <w:t>carbohydrate</w:t>
      </w:r>
      <w:r w:rsidR="00EA5E5A">
        <w:t xml:space="preserve"> compared with </w:t>
      </w:r>
      <w:r w:rsidR="0062403E">
        <w:t>5</w:t>
      </w:r>
      <w:r>
        <w:t>0</w:t>
      </w:r>
      <w:r w:rsidR="008A08AD">
        <w:noBreakHyphen/>
      </w:r>
      <w:r w:rsidR="00EA5E5A">
        <w:t>10</w:t>
      </w:r>
      <w:r>
        <w:t>0 g/L</w:t>
      </w:r>
      <w:r w:rsidR="00EA5E5A">
        <w:t xml:space="preserve"> </w:t>
      </w:r>
      <w:r w:rsidR="0052629D">
        <w:t>carbohydrate</w:t>
      </w:r>
      <w:r w:rsidR="00EA5E5A">
        <w:t xml:space="preserve"> </w:t>
      </w:r>
      <w:r w:rsidR="00594ADB">
        <w:t>in relation to</w:t>
      </w:r>
      <w:r w:rsidR="00EA5E5A">
        <w:t xml:space="preserve"> rehydration or </w:t>
      </w:r>
      <w:r w:rsidR="00EA5E5A" w:rsidRPr="0062403E">
        <w:t>exercise performance</w:t>
      </w:r>
      <w:r w:rsidR="00EA5E5A">
        <w:t xml:space="preserve"> when consumed during or </w:t>
      </w:r>
      <w:r w:rsidR="00B936B2">
        <w:t>after</w:t>
      </w:r>
      <w:r w:rsidR="00EA5E5A">
        <w:t xml:space="preserve"> sustained exercise (</w:t>
      </w:r>
      <w:r w:rsidR="00EA5E5A">
        <w:rPr>
          <w:rFonts w:cs="Arial"/>
        </w:rPr>
        <w:t xml:space="preserve">≥ </w:t>
      </w:r>
      <w:r w:rsidR="00EA5E5A">
        <w:t>60 min</w:t>
      </w:r>
      <w:r w:rsidR="0062403E">
        <w:t>utes</w:t>
      </w:r>
      <w:r w:rsidR="00EA5E5A">
        <w:t xml:space="preserve"> or 2% body weight loss), FSANZ </w:t>
      </w:r>
      <w:r w:rsidR="00493DEB">
        <w:t>proposes to</w:t>
      </w:r>
      <w:r w:rsidR="00B936B2">
        <w:t xml:space="preserve"> </w:t>
      </w:r>
      <w:r w:rsidR="00EA5E5A">
        <w:t xml:space="preserve">lower the minimum permitted </w:t>
      </w:r>
      <w:r w:rsidR="0052629D">
        <w:t>carbohydrate</w:t>
      </w:r>
      <w:r w:rsidR="00EA5E5A">
        <w:t xml:space="preserve"> for</w:t>
      </w:r>
      <w:r w:rsidR="00F30226">
        <w:t xml:space="preserve"> electrolyte drinks </w:t>
      </w:r>
      <w:r w:rsidR="00EA5E5A">
        <w:t>to 2</w:t>
      </w:r>
      <w:r w:rsidR="00B936B2">
        <w:t>0</w:t>
      </w:r>
      <w:r w:rsidR="001A6F5D">
        <w:t> </w:t>
      </w:r>
      <w:r w:rsidR="00B936B2">
        <w:t>g/</w:t>
      </w:r>
      <w:r w:rsidR="00B936B2" w:rsidRPr="00500AFE">
        <w:t>L</w:t>
      </w:r>
      <w:r w:rsidRPr="00500AFE">
        <w:t xml:space="preserve"> while retaining the maximum </w:t>
      </w:r>
      <w:r w:rsidR="0052629D">
        <w:t>carbohydrate</w:t>
      </w:r>
      <w:r w:rsidRPr="00500AFE">
        <w:t xml:space="preserve"> at 100 g/L</w:t>
      </w:r>
      <w:r w:rsidR="00B936B2" w:rsidRPr="00500AFE">
        <w:t xml:space="preserve">. </w:t>
      </w:r>
      <w:r w:rsidR="000401DB">
        <w:t xml:space="preserve">This minimum also corresponds with the </w:t>
      </w:r>
      <w:r w:rsidR="00AB5913">
        <w:t xml:space="preserve">EU </w:t>
      </w:r>
      <w:r w:rsidR="00E223F9">
        <w:t>minimum condition</w:t>
      </w:r>
      <w:r w:rsidR="000401DB">
        <w:t xml:space="preserve"> for </w:t>
      </w:r>
      <w:r w:rsidR="0008025B">
        <w:t xml:space="preserve">health </w:t>
      </w:r>
      <w:r w:rsidR="000401DB">
        <w:t>claims on</w:t>
      </w:r>
      <w:r w:rsidR="00F30226">
        <w:t xml:space="preserve"> electrolyte drinks </w:t>
      </w:r>
      <w:r w:rsidR="0062403E">
        <w:t xml:space="preserve">(see </w:t>
      </w:r>
      <w:r w:rsidR="0043543F">
        <w:t xml:space="preserve">Section </w:t>
      </w:r>
      <w:r w:rsidR="00594ADB">
        <w:t>2.3.</w:t>
      </w:r>
      <w:r w:rsidR="00536756">
        <w:t>5</w:t>
      </w:r>
      <w:r w:rsidR="00935869">
        <w:t>.2.2</w:t>
      </w:r>
      <w:r w:rsidR="0043543F">
        <w:t xml:space="preserve"> of this </w:t>
      </w:r>
      <w:r w:rsidR="00417F12">
        <w:t>C</w:t>
      </w:r>
      <w:r w:rsidR="0043543F">
        <w:t>onsultation paper</w:t>
      </w:r>
      <w:r w:rsidR="0062403E">
        <w:t>)</w:t>
      </w:r>
      <w:r w:rsidR="000401DB">
        <w:t>.</w:t>
      </w:r>
    </w:p>
    <w:p w14:paraId="1923CD63" w14:textId="1E754EF4" w:rsidR="004827B8" w:rsidRDefault="00594ADB" w:rsidP="00424BD1">
      <w:pPr>
        <w:widowControl/>
        <w:spacing w:before="120" w:after="120"/>
      </w:pPr>
      <w:r>
        <w:t>Consistent with a</w:t>
      </w:r>
      <w:r w:rsidR="004827B8">
        <w:t xml:space="preserve"> reduc</w:t>
      </w:r>
      <w:r w:rsidR="00E223F9">
        <w:t>ed</w:t>
      </w:r>
      <w:r w:rsidR="004827B8">
        <w:t xml:space="preserve"> minimum </w:t>
      </w:r>
      <w:r w:rsidR="0052629D">
        <w:t>carbohydrate</w:t>
      </w:r>
      <w:r w:rsidR="004B246D">
        <w:t xml:space="preserve"> </w:t>
      </w:r>
      <w:r w:rsidR="00E223F9">
        <w:t>of</w:t>
      </w:r>
      <w:r w:rsidR="004B246D">
        <w:t xml:space="preserve"> 20 g/L</w:t>
      </w:r>
      <w:r w:rsidR="004827B8">
        <w:t xml:space="preserve">, the maximum fructose </w:t>
      </w:r>
      <w:r w:rsidR="00E223F9">
        <w:t xml:space="preserve">of 50 g/L which </w:t>
      </w:r>
      <w:r w:rsidR="004827B8">
        <w:t>currently correspond</w:t>
      </w:r>
      <w:r w:rsidR="00E223F9">
        <w:t xml:space="preserve">s </w:t>
      </w:r>
      <w:r w:rsidR="004827B8">
        <w:t xml:space="preserve">to the minimum </w:t>
      </w:r>
      <w:r w:rsidR="0052629D">
        <w:t>carbohydrate</w:t>
      </w:r>
      <w:r w:rsidR="004827B8">
        <w:t>, also needs to be reduced</w:t>
      </w:r>
      <w:r w:rsidR="004B246D">
        <w:t xml:space="preserve"> to 20 g/L. </w:t>
      </w:r>
      <w:r w:rsidR="000D66B2">
        <w:t>FSANZ is advised that fructose is seldom used as an ingredient in</w:t>
      </w:r>
      <w:r w:rsidR="00F30226">
        <w:t xml:space="preserve"> electrolyte drinks </w:t>
      </w:r>
      <w:r w:rsidR="000D66B2">
        <w:t xml:space="preserve">but when so, its content is below 20 g/L. </w:t>
      </w:r>
    </w:p>
    <w:p w14:paraId="0E7E6FF8" w14:textId="5D6DE061" w:rsidR="008763C5" w:rsidRDefault="008763C5" w:rsidP="00965DE2">
      <w:pPr>
        <w:pStyle w:val="Heading3"/>
      </w:pPr>
      <w:bookmarkStart w:id="172" w:name="_Toc60825003"/>
      <w:bookmarkStart w:id="173" w:name="_Toc61442309"/>
      <w:bookmarkStart w:id="174" w:name="_Toc61449853"/>
      <w:bookmarkStart w:id="175" w:name="_Toc63342497"/>
      <w:bookmarkStart w:id="176" w:name="_Toc71711635"/>
      <w:bookmarkStart w:id="177" w:name="_Toc72673569"/>
      <w:r>
        <w:t>2.3.</w:t>
      </w:r>
      <w:r w:rsidR="00594ADB">
        <w:t>4</w:t>
      </w:r>
      <w:r>
        <w:tab/>
        <w:t>Nutrition content claims</w:t>
      </w:r>
      <w:bookmarkEnd w:id="172"/>
      <w:bookmarkEnd w:id="173"/>
      <w:bookmarkEnd w:id="174"/>
      <w:bookmarkEnd w:id="175"/>
      <w:bookmarkEnd w:id="176"/>
      <w:bookmarkEnd w:id="177"/>
    </w:p>
    <w:p w14:paraId="1AD1A113" w14:textId="0B781185" w:rsidR="008763C5" w:rsidRPr="00D70D72" w:rsidRDefault="008763C5" w:rsidP="00424BD1">
      <w:pPr>
        <w:pStyle w:val="Heading4"/>
        <w:widowControl/>
        <w:spacing w:before="120" w:after="120"/>
        <w:rPr>
          <w:lang w:eastAsia="en-AU"/>
        </w:rPr>
      </w:pPr>
      <w:r>
        <w:rPr>
          <w:lang w:eastAsia="en-AU"/>
        </w:rPr>
        <w:t>2.3.</w:t>
      </w:r>
      <w:r w:rsidR="00594ADB">
        <w:rPr>
          <w:lang w:eastAsia="en-AU"/>
        </w:rPr>
        <w:t>4</w:t>
      </w:r>
      <w:r>
        <w:rPr>
          <w:lang w:eastAsia="en-AU"/>
        </w:rPr>
        <w:t>.</w:t>
      </w:r>
      <w:r w:rsidR="00FB3E58">
        <w:rPr>
          <w:lang w:eastAsia="en-AU"/>
        </w:rPr>
        <w:t>1</w:t>
      </w:r>
      <w:r w:rsidRPr="00D70D72">
        <w:rPr>
          <w:lang w:eastAsia="en-AU"/>
        </w:rPr>
        <w:tab/>
        <w:t>Approach in 2014 Call for submissions</w:t>
      </w:r>
    </w:p>
    <w:p w14:paraId="31423657" w14:textId="02B29888" w:rsidR="008763C5" w:rsidRDefault="00D85569" w:rsidP="00424BD1">
      <w:pPr>
        <w:widowControl/>
        <w:spacing w:before="120" w:after="120"/>
      </w:pPr>
      <w:r>
        <w:t>N</w:t>
      </w:r>
      <w:r w:rsidR="00FB3E58" w:rsidRPr="00FB3E58">
        <w:t xml:space="preserve">utrition content claims </w:t>
      </w:r>
      <w:r>
        <w:t>about</w:t>
      </w:r>
      <w:r w:rsidR="00F30226">
        <w:t xml:space="preserve"> electrolyte drinks </w:t>
      </w:r>
      <w:r>
        <w:t xml:space="preserve">can currently be made </w:t>
      </w:r>
      <w:r w:rsidR="00FB3E58" w:rsidRPr="00FB3E58">
        <w:t>in accordance with Standard 1.2.7.</w:t>
      </w:r>
      <w:r w:rsidR="00FB3E58">
        <w:t xml:space="preserve"> </w:t>
      </w:r>
      <w:r w:rsidR="00FB3E58" w:rsidRPr="00FB3E58">
        <w:t>No changes were proposed to the regulation of nutrition content claims for</w:t>
      </w:r>
      <w:r w:rsidR="00F30226">
        <w:t xml:space="preserve"> electrolyte drinks </w:t>
      </w:r>
      <w:r w:rsidR="00FB3E58">
        <w:t>in 2014</w:t>
      </w:r>
      <w:r w:rsidR="00FB3E58" w:rsidRPr="00FB3E58">
        <w:t xml:space="preserve">. </w:t>
      </w:r>
    </w:p>
    <w:p w14:paraId="240035A7" w14:textId="162F125A" w:rsidR="00CB64C0" w:rsidRDefault="00CB64C0" w:rsidP="00424BD1">
      <w:pPr>
        <w:widowControl/>
        <w:spacing w:before="120" w:after="120"/>
      </w:pPr>
      <w:r>
        <w:t xml:space="preserve">One submitter commented that </w:t>
      </w:r>
      <w:r w:rsidRPr="00CB64C0">
        <w:t xml:space="preserve">nutrition content claims </w:t>
      </w:r>
      <w:r>
        <w:t xml:space="preserve">(and health claims) </w:t>
      </w:r>
      <w:r w:rsidRPr="00CB64C0">
        <w:t>have been used by food companies as marketing tools to increase sales and market share.</w:t>
      </w:r>
      <w:r>
        <w:t xml:space="preserve"> </w:t>
      </w:r>
      <w:r w:rsidR="00E223F9">
        <w:t>Another</w:t>
      </w:r>
      <w:r w:rsidR="00C32F3A">
        <w:t xml:space="preserve"> submitter </w:t>
      </w:r>
      <w:r>
        <w:t xml:space="preserve">suggested including a </w:t>
      </w:r>
      <w:r w:rsidRPr="00CB64C0">
        <w:t xml:space="preserve">pre-approved nutrition content claim </w:t>
      </w:r>
      <w:r>
        <w:t>for</w:t>
      </w:r>
      <w:r w:rsidRPr="00CB64C0">
        <w:t xml:space="preserve"> electrolytes to </w:t>
      </w:r>
      <w:r>
        <w:t xml:space="preserve">proactively clarify the use of </w:t>
      </w:r>
      <w:r w:rsidRPr="00CB64C0">
        <w:t xml:space="preserve">the term </w:t>
      </w:r>
      <w:r>
        <w:t>‘</w:t>
      </w:r>
      <w:r w:rsidRPr="00CB64C0">
        <w:t>electrolyte</w:t>
      </w:r>
      <w:r>
        <w:t>’</w:t>
      </w:r>
      <w:r w:rsidRPr="00CB64C0">
        <w:t xml:space="preserve"> on product</w:t>
      </w:r>
      <w:r>
        <w:t>s</w:t>
      </w:r>
      <w:r w:rsidRPr="00CB64C0">
        <w:t xml:space="preserve"> and set appropriate conditions </w:t>
      </w:r>
      <w:r>
        <w:t>for its use.</w:t>
      </w:r>
    </w:p>
    <w:p w14:paraId="5C986418" w14:textId="24E65A56" w:rsidR="00FB3E58" w:rsidRDefault="00FB3E58" w:rsidP="00424BD1">
      <w:pPr>
        <w:pStyle w:val="Heading4"/>
        <w:widowControl/>
        <w:spacing w:before="120" w:after="120"/>
      </w:pPr>
      <w:r>
        <w:t>2.3.</w:t>
      </w:r>
      <w:r w:rsidR="00594ADB">
        <w:t>4.</w:t>
      </w:r>
      <w:r>
        <w:t>2</w:t>
      </w:r>
      <w:r>
        <w:tab/>
        <w:t xml:space="preserve">Proposed </w:t>
      </w:r>
      <w:r w:rsidR="00D903F8">
        <w:t xml:space="preserve">new </w:t>
      </w:r>
      <w:r>
        <w:t xml:space="preserve">approach </w:t>
      </w:r>
    </w:p>
    <w:p w14:paraId="6DE19D89" w14:textId="4FC3031B" w:rsidR="00DA6324" w:rsidRDefault="00FB3E58" w:rsidP="00424BD1">
      <w:pPr>
        <w:widowControl/>
        <w:spacing w:before="120" w:after="120"/>
      </w:pPr>
      <w:r>
        <w:t>FSANZ</w:t>
      </w:r>
      <w:r w:rsidR="00C32F3A">
        <w:t xml:space="preserve"> now</w:t>
      </w:r>
      <w:r>
        <w:t xml:space="preserve"> proposes to prohibit all nutrition content claims about</w:t>
      </w:r>
      <w:r w:rsidR="00F30226">
        <w:t xml:space="preserve"> electrolyte drinks </w:t>
      </w:r>
      <w:r>
        <w:t>except for nutrition content claims about</w:t>
      </w:r>
      <w:r w:rsidR="00143B45">
        <w:t xml:space="preserve"> </w:t>
      </w:r>
      <w:r w:rsidR="0052629D">
        <w:t>carbohydrate</w:t>
      </w:r>
      <w:r w:rsidR="00143B45">
        <w:t>, s</w:t>
      </w:r>
      <w:r>
        <w:t>ugar</w:t>
      </w:r>
      <w:r w:rsidR="002D16DD">
        <w:t xml:space="preserve"> or sugars</w:t>
      </w:r>
      <w:r w:rsidR="00DA6324">
        <w:t>,</w:t>
      </w:r>
      <w:r w:rsidR="00143B45">
        <w:t xml:space="preserve"> </w:t>
      </w:r>
      <w:r>
        <w:t>energy</w:t>
      </w:r>
      <w:r w:rsidR="00DA6324">
        <w:t xml:space="preserve"> and </w:t>
      </w:r>
      <w:r w:rsidR="0084648D">
        <w:t xml:space="preserve">certain </w:t>
      </w:r>
      <w:r w:rsidR="00443260">
        <w:t xml:space="preserve">‘prescribed </w:t>
      </w:r>
      <w:r w:rsidR="00DA6324">
        <w:t>electrolytes</w:t>
      </w:r>
      <w:r w:rsidR="00443260">
        <w:t>’ (see below)</w:t>
      </w:r>
      <w:r w:rsidR="0084648D">
        <w:t>.</w:t>
      </w:r>
      <w:r w:rsidR="00DA6324">
        <w:t xml:space="preserve"> </w:t>
      </w:r>
    </w:p>
    <w:p w14:paraId="54E1E520" w14:textId="0BA2B8CE" w:rsidR="005833EC" w:rsidRDefault="00143B45" w:rsidP="00424BD1">
      <w:pPr>
        <w:widowControl/>
        <w:spacing w:before="120" w:after="120"/>
      </w:pPr>
      <w:r>
        <w:t xml:space="preserve">The rationale for this approach is to limit nutrition content claims to those associated with the </w:t>
      </w:r>
      <w:r w:rsidR="00E92E5F">
        <w:t xml:space="preserve">intended </w:t>
      </w:r>
      <w:r>
        <w:t xml:space="preserve">purpose and </w:t>
      </w:r>
      <w:r w:rsidR="00E92E5F">
        <w:t xml:space="preserve">regulatory </w:t>
      </w:r>
      <w:r>
        <w:t>composition of</w:t>
      </w:r>
      <w:r w:rsidR="0052629D">
        <w:t xml:space="preserve"> electrolyte drinks.</w:t>
      </w:r>
      <w:r w:rsidR="00CB64C0">
        <w:t xml:space="preserve"> This </w:t>
      </w:r>
      <w:r w:rsidR="00EE6B65">
        <w:t xml:space="preserve">would </w:t>
      </w:r>
      <w:r w:rsidR="00CB64C0">
        <w:t>reduce the potential for claims to mislead consumers about the purpose and place of</w:t>
      </w:r>
      <w:r w:rsidR="00F30226">
        <w:t xml:space="preserve"> electrolyte drinks </w:t>
      </w:r>
      <w:r w:rsidR="00CB64C0">
        <w:t>in the diet</w:t>
      </w:r>
      <w:r w:rsidR="005833EC">
        <w:t xml:space="preserve"> and aligns with the approach for health claims (see </w:t>
      </w:r>
      <w:r w:rsidR="0043543F">
        <w:t xml:space="preserve">Section </w:t>
      </w:r>
      <w:r w:rsidR="00935869">
        <w:t>2.3.5</w:t>
      </w:r>
      <w:r w:rsidR="0043543F">
        <w:t xml:space="preserve"> of this </w:t>
      </w:r>
      <w:r w:rsidR="00417F12">
        <w:t>C</w:t>
      </w:r>
      <w:r w:rsidR="0043543F">
        <w:t>onsultation paper</w:t>
      </w:r>
      <w:r w:rsidR="005833EC">
        <w:t xml:space="preserve">). </w:t>
      </w:r>
      <w:r w:rsidR="00DA6324">
        <w:t>The permission for sugar</w:t>
      </w:r>
      <w:r w:rsidR="00594ADB">
        <w:t>/s</w:t>
      </w:r>
      <w:r w:rsidR="00DA6324">
        <w:t xml:space="preserve"> claims </w:t>
      </w:r>
      <w:r w:rsidR="00EE6B65">
        <w:t xml:space="preserve">would </w:t>
      </w:r>
      <w:r w:rsidR="00DA6324">
        <w:t xml:space="preserve">also allow for ‘reduced sugar’ type claims, noting the proposed approach to reduce the minimum </w:t>
      </w:r>
      <w:r w:rsidR="0052629D">
        <w:t>carbohydrate</w:t>
      </w:r>
      <w:r w:rsidR="00DA6324">
        <w:t xml:space="preserve"> content in</w:t>
      </w:r>
      <w:r w:rsidR="0052629D">
        <w:t xml:space="preserve"> electrolyte drinks.</w:t>
      </w:r>
      <w:r w:rsidR="00DA6324">
        <w:t xml:space="preserve"> </w:t>
      </w:r>
      <w:r w:rsidR="007D53F3" w:rsidRPr="007D53F3">
        <w:t>Nutrition content claims about carbohydrate, sugar/s and energy would have to comply with the applicable conditions in Standard 1.2.7 and Schedule 4.</w:t>
      </w:r>
    </w:p>
    <w:p w14:paraId="00520C1B" w14:textId="02F6C88A" w:rsidR="007D53F3" w:rsidRDefault="007D53F3" w:rsidP="007D53F3">
      <w:pPr>
        <w:pStyle w:val="Heading5"/>
      </w:pPr>
      <w:r>
        <w:t>2.3.4.2.1</w:t>
      </w:r>
      <w:r>
        <w:tab/>
        <w:t xml:space="preserve">‘Prescribed electrolytes’ </w:t>
      </w:r>
    </w:p>
    <w:p w14:paraId="521CD8AB" w14:textId="478FAC3F" w:rsidR="007D53F3" w:rsidRDefault="000626B8" w:rsidP="00424BD1">
      <w:pPr>
        <w:widowControl/>
        <w:spacing w:before="120" w:after="120"/>
      </w:pPr>
      <w:r>
        <w:t>FSANZ proposes amending the</w:t>
      </w:r>
      <w:r w:rsidR="006E5CCC">
        <w:t xml:space="preserve"> </w:t>
      </w:r>
      <w:r w:rsidR="0084648D" w:rsidRPr="0084648D">
        <w:t xml:space="preserve">draft variation </w:t>
      </w:r>
      <w:r>
        <w:t xml:space="preserve">to </w:t>
      </w:r>
      <w:r w:rsidR="002A35D1">
        <w:t>list</w:t>
      </w:r>
      <w:r w:rsidR="00443260" w:rsidRPr="0084648D">
        <w:t xml:space="preserve"> </w:t>
      </w:r>
      <w:r w:rsidR="0084648D" w:rsidRPr="0084648D">
        <w:t>five electrolytes</w:t>
      </w:r>
      <w:r w:rsidR="0084648D">
        <w:t xml:space="preserve"> </w:t>
      </w:r>
      <w:r w:rsidR="0084648D" w:rsidRPr="00DA6324">
        <w:t>(calcium, sodium, magnesium, potassium and chloride)</w:t>
      </w:r>
      <w:r w:rsidR="002A35D1">
        <w:t xml:space="preserve"> as ‘prescribed electrolytes’</w:t>
      </w:r>
      <w:r w:rsidR="00443260">
        <w:t>.</w:t>
      </w:r>
      <w:r w:rsidR="0093454A">
        <w:t xml:space="preserve"> </w:t>
      </w:r>
      <w:r w:rsidR="007D53F3" w:rsidRPr="007D53F3">
        <w:t xml:space="preserve">This </w:t>
      </w:r>
      <w:r w:rsidR="007D53F3">
        <w:t xml:space="preserve">is </w:t>
      </w:r>
      <w:r w:rsidR="007D53F3" w:rsidRPr="007D53F3">
        <w:t xml:space="preserve">because some of the substances listed as ‘prescribed electrolytes’ for the purposes of </w:t>
      </w:r>
      <w:r w:rsidR="007D53F3">
        <w:t>electrolyte drinks</w:t>
      </w:r>
      <w:r w:rsidR="007D53F3" w:rsidRPr="007D53F3">
        <w:t xml:space="preserve"> are also ‘minerals’ for the purposes of requirements elsewhere in the Code.</w:t>
      </w:r>
    </w:p>
    <w:p w14:paraId="4695B0DE" w14:textId="4238D861" w:rsidR="0084648D" w:rsidRDefault="0052574B" w:rsidP="00424BD1">
      <w:pPr>
        <w:widowControl/>
        <w:spacing w:before="120" w:after="120"/>
      </w:pPr>
      <w:r>
        <w:t xml:space="preserve">In the </w:t>
      </w:r>
      <w:r w:rsidR="008E63AA">
        <w:t>example</w:t>
      </w:r>
      <w:r w:rsidR="0080025B">
        <w:t xml:space="preserve"> </w:t>
      </w:r>
      <w:r>
        <w:t>amended draft variation, a</w:t>
      </w:r>
      <w:r w:rsidRPr="0084648D">
        <w:t xml:space="preserve"> </w:t>
      </w:r>
      <w:r>
        <w:t xml:space="preserve">nutrition content </w:t>
      </w:r>
      <w:r w:rsidR="0084648D" w:rsidRPr="0084648D">
        <w:t xml:space="preserve">claim </w:t>
      </w:r>
      <w:r w:rsidR="00BE1115">
        <w:t>would be able to</w:t>
      </w:r>
      <w:r w:rsidR="00443260">
        <w:t xml:space="preserve"> be made </w:t>
      </w:r>
      <w:r w:rsidR="0084648D" w:rsidRPr="0084648D">
        <w:t xml:space="preserve">about the presence of </w:t>
      </w:r>
      <w:r w:rsidR="000626B8">
        <w:t xml:space="preserve">these </w:t>
      </w:r>
      <w:r w:rsidR="00443260">
        <w:t>prescribed</w:t>
      </w:r>
      <w:r w:rsidR="0084648D">
        <w:t xml:space="preserve"> electrolytes </w:t>
      </w:r>
      <w:r w:rsidR="00443260">
        <w:t>by</w:t>
      </w:r>
      <w:r w:rsidR="0084648D" w:rsidRPr="0084648D">
        <w:t xml:space="preserve"> refer</w:t>
      </w:r>
      <w:r w:rsidR="00443260">
        <w:t>ring to electrolytes generally</w:t>
      </w:r>
      <w:r w:rsidR="0084648D" w:rsidRPr="0084648D">
        <w:t>, for example, ‘contains electrolytes’</w:t>
      </w:r>
      <w:r w:rsidR="00443260">
        <w:t xml:space="preserve"> or to the individual prescribed electrolyte(s) present in the drink, for example, </w:t>
      </w:r>
      <w:r w:rsidR="00443260" w:rsidRPr="0084648D">
        <w:t>‘contains the electrolytes</w:t>
      </w:r>
      <w:r w:rsidR="00443260">
        <w:t>:</w:t>
      </w:r>
      <w:r w:rsidR="00443260" w:rsidRPr="0084648D">
        <w:t xml:space="preserve"> calcium and sodium’</w:t>
      </w:r>
      <w:r w:rsidR="0084648D" w:rsidRPr="0084648D">
        <w:t xml:space="preserve">. For </w:t>
      </w:r>
      <w:r w:rsidR="00242F96">
        <w:t xml:space="preserve">a nutrition content </w:t>
      </w:r>
      <w:r w:rsidR="0084648D" w:rsidRPr="0084648D">
        <w:t xml:space="preserve">claim about individual </w:t>
      </w:r>
      <w:r w:rsidR="00F26587">
        <w:t xml:space="preserve">prescribed </w:t>
      </w:r>
      <w:r w:rsidR="0084648D" w:rsidRPr="0084648D">
        <w:t xml:space="preserve">electrolytes, </w:t>
      </w:r>
      <w:r w:rsidR="0084648D" w:rsidRPr="0084648D">
        <w:lastRenderedPageBreak/>
        <w:t xml:space="preserve">the claim </w:t>
      </w:r>
      <w:r w:rsidR="00BE1115">
        <w:t>would also have to</w:t>
      </w:r>
      <w:r w:rsidR="0084648D" w:rsidRPr="0084648D">
        <w:t xml:space="preserve"> </w:t>
      </w:r>
      <w:r w:rsidR="00F26587">
        <w:t>state</w:t>
      </w:r>
      <w:r w:rsidR="00F26587" w:rsidRPr="0084648D">
        <w:t xml:space="preserve"> </w:t>
      </w:r>
      <w:r w:rsidR="0084648D" w:rsidRPr="0084648D">
        <w:t>that they are ‘electrolytes’</w:t>
      </w:r>
      <w:r w:rsidR="00F26587">
        <w:t xml:space="preserve"> as in the above example</w:t>
      </w:r>
      <w:r w:rsidR="0084648D" w:rsidRPr="0084648D">
        <w:t>. This is intended to inform consumers about their function in the body as electrolytes rather than as minerals</w:t>
      </w:r>
      <w:r w:rsidR="00E036F0">
        <w:t xml:space="preserve"> </w:t>
      </w:r>
      <w:r w:rsidR="007D53F3">
        <w:t>(</w:t>
      </w:r>
      <w:r w:rsidR="00E036F0">
        <w:t>s</w:t>
      </w:r>
      <w:r w:rsidR="007D53F3">
        <w:t>ee Section 2.3.7.2 below for the proposed requirements for the declarations of electrolytes in the nutrition information panel)</w:t>
      </w:r>
      <w:r w:rsidR="00E036F0">
        <w:t>.</w:t>
      </w:r>
      <w:r w:rsidR="007D53F3">
        <w:t xml:space="preserve"> </w:t>
      </w:r>
    </w:p>
    <w:p w14:paraId="5529BB7E" w14:textId="3A848646" w:rsidR="006D66D0" w:rsidRDefault="00372B02" w:rsidP="00424BD1">
      <w:pPr>
        <w:widowControl/>
        <w:spacing w:before="120" w:after="120"/>
      </w:pPr>
      <w:r>
        <w:t xml:space="preserve">For nutrition content claims about </w:t>
      </w:r>
      <w:r w:rsidR="00F26587">
        <w:t xml:space="preserve">prescribed </w:t>
      </w:r>
      <w:r>
        <w:t xml:space="preserve">electrolytes, it is proposed that the conditions in Standard 1.2.7 </w:t>
      </w:r>
      <w:r w:rsidR="00EC7F52">
        <w:t xml:space="preserve">and Schedule 4 </w:t>
      </w:r>
      <w:r>
        <w:t xml:space="preserve">for nutrition content claims </w:t>
      </w:r>
      <w:r w:rsidR="004A36EE">
        <w:t xml:space="preserve">would </w:t>
      </w:r>
      <w:r>
        <w:t xml:space="preserve">not apply to these claims. </w:t>
      </w:r>
      <w:r w:rsidR="00176B0D">
        <w:t xml:space="preserve">The conditions for </w:t>
      </w:r>
      <w:r w:rsidR="005833EC">
        <w:t>magnesium and calcium</w:t>
      </w:r>
      <w:r w:rsidR="00176B0D">
        <w:t xml:space="preserve"> claims </w:t>
      </w:r>
      <w:r w:rsidR="00E223F9">
        <w:t xml:space="preserve">as minerals </w:t>
      </w:r>
      <w:r w:rsidR="00EC7F52">
        <w:t>in Schedule 4</w:t>
      </w:r>
      <w:r w:rsidR="00176B0D">
        <w:t xml:space="preserve"> are not </w:t>
      </w:r>
      <w:r w:rsidR="00610170">
        <w:t xml:space="preserve">considered </w:t>
      </w:r>
      <w:r w:rsidR="00176B0D">
        <w:t>appropriate</w:t>
      </w:r>
      <w:r w:rsidR="005833EC">
        <w:t xml:space="preserve"> as these are based on a </w:t>
      </w:r>
      <w:r w:rsidR="00794E5C">
        <w:rPr>
          <w:lang w:eastAsia="en-AU" w:bidi="ar-SA"/>
        </w:rPr>
        <w:t>recommended dietary intake (RDI)</w:t>
      </w:r>
      <w:r w:rsidR="005833EC">
        <w:t xml:space="preserve"> which is not relevant to the function</w:t>
      </w:r>
      <w:r w:rsidR="00610170">
        <w:t xml:space="preserve"> of magnesium </w:t>
      </w:r>
      <w:r w:rsidR="00536756">
        <w:t>or</w:t>
      </w:r>
      <w:r w:rsidR="00610170">
        <w:t xml:space="preserve"> calcium</w:t>
      </w:r>
      <w:r w:rsidR="005833EC">
        <w:t xml:space="preserve"> as an electrolyte in</w:t>
      </w:r>
      <w:r w:rsidR="0052629D">
        <w:t xml:space="preserve"> electrolyte drinks.</w:t>
      </w:r>
      <w:r w:rsidR="005833EC">
        <w:t xml:space="preserve"> </w:t>
      </w:r>
      <w:r w:rsidR="00176B0D">
        <w:t xml:space="preserve">Similarly, the conditions in Schedule 4 for nutrition content claims about sodium are </w:t>
      </w:r>
      <w:r w:rsidR="00C60F30">
        <w:t xml:space="preserve">not applicable as they are </w:t>
      </w:r>
      <w:r w:rsidR="00176B0D">
        <w:t xml:space="preserve">for the purposes of low or lower sodium claims rather than the function of sodium as an electrolyte. </w:t>
      </w:r>
      <w:r w:rsidR="005833EC">
        <w:t xml:space="preserve">No other </w:t>
      </w:r>
      <w:r w:rsidR="004C3C72">
        <w:t xml:space="preserve">claim conditions for </w:t>
      </w:r>
      <w:r w:rsidR="005833EC">
        <w:t>composition are proposed</w:t>
      </w:r>
      <w:r w:rsidR="00DC06FF">
        <w:t xml:space="preserve">, </w:t>
      </w:r>
      <w:r w:rsidR="00E223F9">
        <w:t xml:space="preserve">which is </w:t>
      </w:r>
      <w:r w:rsidR="00DC06FF">
        <w:t xml:space="preserve">consistent with the current approach </w:t>
      </w:r>
      <w:r w:rsidR="00176B0D">
        <w:t xml:space="preserve">for </w:t>
      </w:r>
      <w:r w:rsidR="00DC06FF">
        <w:t xml:space="preserve">nutrition content claims about potassium and chloride in the Code. </w:t>
      </w:r>
    </w:p>
    <w:p w14:paraId="2EBBA81D" w14:textId="4D55ABB0" w:rsidR="00D26D5D" w:rsidRDefault="007A5F66" w:rsidP="00965DE2">
      <w:pPr>
        <w:pStyle w:val="Heading3"/>
      </w:pPr>
      <w:bookmarkStart w:id="178" w:name="_Toc63342498"/>
      <w:bookmarkStart w:id="179" w:name="_Toc71711636"/>
      <w:bookmarkStart w:id="180" w:name="_Toc72673570"/>
      <w:bookmarkStart w:id="181" w:name="_Toc60825004"/>
      <w:bookmarkStart w:id="182" w:name="_Toc61442310"/>
      <w:bookmarkStart w:id="183" w:name="_Toc61449854"/>
      <w:r>
        <w:t>2.3</w:t>
      </w:r>
      <w:r w:rsidR="002038C5">
        <w:t>.</w:t>
      </w:r>
      <w:r w:rsidR="00536756">
        <w:t>5</w:t>
      </w:r>
      <w:r>
        <w:tab/>
      </w:r>
      <w:r w:rsidR="00D26D5D">
        <w:t>Health claims</w:t>
      </w:r>
      <w:bookmarkEnd w:id="178"/>
      <w:bookmarkEnd w:id="179"/>
      <w:bookmarkEnd w:id="180"/>
      <w:r w:rsidR="00D26D5D">
        <w:t xml:space="preserve"> </w:t>
      </w:r>
      <w:bookmarkEnd w:id="181"/>
      <w:bookmarkEnd w:id="182"/>
      <w:bookmarkEnd w:id="183"/>
    </w:p>
    <w:p w14:paraId="53B44E84" w14:textId="57120707" w:rsidR="00D26D5D" w:rsidRPr="00D70D72" w:rsidRDefault="00B16788" w:rsidP="00424BD1">
      <w:pPr>
        <w:pStyle w:val="Heading4"/>
        <w:widowControl/>
        <w:spacing w:before="120" w:after="120"/>
        <w:rPr>
          <w:lang w:eastAsia="en-AU"/>
        </w:rPr>
      </w:pPr>
      <w:r>
        <w:rPr>
          <w:lang w:eastAsia="en-AU"/>
        </w:rPr>
        <w:t>2.3.</w:t>
      </w:r>
      <w:r w:rsidR="00536756">
        <w:rPr>
          <w:lang w:eastAsia="en-AU"/>
        </w:rPr>
        <w:t>5</w:t>
      </w:r>
      <w:r>
        <w:rPr>
          <w:lang w:eastAsia="en-AU"/>
        </w:rPr>
        <w:t>.1</w:t>
      </w:r>
      <w:r w:rsidR="00D26D5D" w:rsidRPr="00D70D72">
        <w:rPr>
          <w:lang w:eastAsia="en-AU"/>
        </w:rPr>
        <w:tab/>
        <w:t>Approach in 2014 Call for submissions</w:t>
      </w:r>
    </w:p>
    <w:p w14:paraId="5CB4A520" w14:textId="33B4C4C2" w:rsidR="007D19D6" w:rsidRDefault="00D26D5D" w:rsidP="00424BD1">
      <w:pPr>
        <w:widowControl/>
        <w:spacing w:before="120" w:after="120"/>
      </w:pPr>
      <w:r w:rsidRPr="00D26D5D">
        <w:t xml:space="preserve">FSANZ proposed </w:t>
      </w:r>
      <w:r w:rsidR="00C60F30">
        <w:t>that</w:t>
      </w:r>
      <w:r w:rsidR="00F30226">
        <w:t xml:space="preserve"> electrolyte drinks </w:t>
      </w:r>
      <w:r w:rsidRPr="00D26D5D">
        <w:t xml:space="preserve">be permitted to carry health claims relating to their intended purpose </w:t>
      </w:r>
      <w:r>
        <w:t>(</w:t>
      </w:r>
      <w:r w:rsidR="00C60F30">
        <w:t xml:space="preserve">i.e. </w:t>
      </w:r>
      <w:r w:rsidRPr="00D26D5D">
        <w:t xml:space="preserve">to help with rapid replacement of fluid, </w:t>
      </w:r>
      <w:r w:rsidR="0052629D">
        <w:t>carbohydrate</w:t>
      </w:r>
      <w:r w:rsidR="00891DC4" w:rsidRPr="00D26D5D">
        <w:t xml:space="preserve"> </w:t>
      </w:r>
      <w:r w:rsidRPr="00D26D5D">
        <w:t>and electrolytes</w:t>
      </w:r>
      <w:r>
        <w:t>)</w:t>
      </w:r>
      <w:r w:rsidRPr="00D26D5D">
        <w:t xml:space="preserve"> in accordance with the requirements in Standard 1.2.7, which allow</w:t>
      </w:r>
      <w:r w:rsidR="00CC68A5">
        <w:t>ed</w:t>
      </w:r>
      <w:r w:rsidRPr="00D26D5D">
        <w:t xml:space="preserve"> for self-substantiated </w:t>
      </w:r>
      <w:r w:rsidR="004770D8">
        <w:t xml:space="preserve">health </w:t>
      </w:r>
      <w:r w:rsidRPr="00D26D5D">
        <w:t xml:space="preserve">claims. </w:t>
      </w:r>
    </w:p>
    <w:p w14:paraId="7755DDD4" w14:textId="657F83E1" w:rsidR="00F46D4F" w:rsidRDefault="00F46D4F" w:rsidP="00424BD1">
      <w:pPr>
        <w:widowControl/>
        <w:spacing w:before="120" w:after="120"/>
      </w:pPr>
      <w:r>
        <w:t>As the approach was to incorporate the regulation of</w:t>
      </w:r>
      <w:r w:rsidR="00F30226">
        <w:t xml:space="preserve"> electrolyte drinks </w:t>
      </w:r>
      <w:r>
        <w:t>into Standard 2.9.4,</w:t>
      </w:r>
      <w:r w:rsidR="00F30226">
        <w:t xml:space="preserve"> electrolyte drinks </w:t>
      </w:r>
      <w:r w:rsidRPr="00450D4D">
        <w:t xml:space="preserve">carrying health claims </w:t>
      </w:r>
      <w:r w:rsidR="000342D2">
        <w:t>were</w:t>
      </w:r>
      <w:r w:rsidR="000342D2" w:rsidRPr="00450D4D">
        <w:t xml:space="preserve"> </w:t>
      </w:r>
      <w:r w:rsidRPr="00450D4D">
        <w:t xml:space="preserve">not </w:t>
      </w:r>
      <w:r w:rsidR="008378C6">
        <w:t>required</w:t>
      </w:r>
      <w:r w:rsidR="00C60F30">
        <w:t xml:space="preserve"> to</w:t>
      </w:r>
      <w:r w:rsidRPr="00450D4D">
        <w:t xml:space="preserve"> </w:t>
      </w:r>
      <w:r w:rsidR="0062403E">
        <w:t>meet</w:t>
      </w:r>
      <w:r w:rsidRPr="00450D4D">
        <w:t xml:space="preserve"> the </w:t>
      </w:r>
      <w:r w:rsidR="00641BFE">
        <w:t>NPSC</w:t>
      </w:r>
      <w:r w:rsidRPr="00450D4D">
        <w:t xml:space="preserve">, consistent with the approach for </w:t>
      </w:r>
      <w:r w:rsidR="004131E2" w:rsidRPr="00450D4D">
        <w:t>special purpose foods</w:t>
      </w:r>
      <w:r w:rsidRPr="00450D4D">
        <w:t xml:space="preserve">. </w:t>
      </w:r>
      <w:r w:rsidR="00B86E10">
        <w:t>Such foods</w:t>
      </w:r>
      <w:r>
        <w:t xml:space="preserve"> are exempt from the requirement to </w:t>
      </w:r>
      <w:r w:rsidR="0062403E">
        <w:t>meet</w:t>
      </w:r>
      <w:r>
        <w:t xml:space="preserve"> the NPSC as they are </w:t>
      </w:r>
      <w:r w:rsidRPr="00F46D4F">
        <w:t>specially formulated for specific dietary purposes and must meet certain prescribed compositional requirements related to th</w:t>
      </w:r>
      <w:r w:rsidR="004B246D">
        <w:t>e</w:t>
      </w:r>
      <w:r w:rsidRPr="00F46D4F">
        <w:t xml:space="preserve">se purposes. </w:t>
      </w:r>
    </w:p>
    <w:p w14:paraId="2BB8294E" w14:textId="5AA67A8A" w:rsidR="00D26D5D" w:rsidRDefault="00F46D4F" w:rsidP="00424BD1">
      <w:pPr>
        <w:widowControl/>
        <w:spacing w:before="120" w:after="120"/>
      </w:pPr>
      <w:r w:rsidRPr="00D26D5D">
        <w:t xml:space="preserve">The existing </w:t>
      </w:r>
      <w:r w:rsidR="00CA62A5">
        <w:t xml:space="preserve">permitted </w:t>
      </w:r>
      <w:r w:rsidRPr="00D26D5D">
        <w:t>claim</w:t>
      </w:r>
      <w:r w:rsidR="00B25114">
        <w:t xml:space="preserve"> referring to availability of energy and preventing or treating mild dehydration</w:t>
      </w:r>
      <w:r w:rsidRPr="00D26D5D">
        <w:t xml:space="preserve"> in </w:t>
      </w:r>
      <w:r w:rsidR="005C4205">
        <w:t xml:space="preserve">subsection </w:t>
      </w:r>
      <w:r w:rsidR="00521EA9">
        <w:t>2.6.2—12(3)</w:t>
      </w:r>
      <w:r w:rsidRPr="00D26D5D">
        <w:t xml:space="preserve"> for</w:t>
      </w:r>
      <w:r w:rsidR="00F30226">
        <w:t xml:space="preserve"> </w:t>
      </w:r>
      <w:r w:rsidR="00390928">
        <w:t xml:space="preserve">isotonic </w:t>
      </w:r>
      <w:r w:rsidR="00F30226">
        <w:t xml:space="preserve">electrolyte drinks </w:t>
      </w:r>
      <w:r w:rsidR="004B246D">
        <w:t>was</w:t>
      </w:r>
      <w:r w:rsidR="00B25114">
        <w:t xml:space="preserve"> </w:t>
      </w:r>
      <w:r w:rsidRPr="00D26D5D">
        <w:t>also proposed to be retained</w:t>
      </w:r>
      <w:r w:rsidR="00D85569">
        <w:t xml:space="preserve"> in 2014</w:t>
      </w:r>
      <w:r w:rsidR="00B25114">
        <w:t>.</w:t>
      </w:r>
    </w:p>
    <w:p w14:paraId="44EE9755" w14:textId="03E06464" w:rsidR="00C16618" w:rsidRDefault="00C16618" w:rsidP="00424BD1">
      <w:pPr>
        <w:widowControl/>
        <w:spacing w:before="120" w:after="120"/>
      </w:pPr>
      <w:r>
        <w:t xml:space="preserve">Some submitters supported the proposed approach or elements of the proposed approach, </w:t>
      </w:r>
      <w:r w:rsidR="00641BFE">
        <w:t>whereas</w:t>
      </w:r>
      <w:r>
        <w:t xml:space="preserve"> other submitters did not, as outlined below. </w:t>
      </w:r>
      <w:r w:rsidR="00FF2730">
        <w:t xml:space="preserve">A number of submitters commented about inconsistency of the proposed approach with the </w:t>
      </w:r>
      <w:r w:rsidR="00FF2730" w:rsidRPr="004C3C72">
        <w:t xml:space="preserve">Policy Guideline for </w:t>
      </w:r>
      <w:r w:rsidR="004C3C72" w:rsidRPr="004C3C72">
        <w:t>Nutrition, Health and Related Claims</w:t>
      </w:r>
      <w:bookmarkStart w:id="184" w:name="_Ref62220487"/>
      <w:r w:rsidR="004131E2">
        <w:rPr>
          <w:rStyle w:val="FootnoteReference"/>
        </w:rPr>
        <w:footnoteReference w:id="10"/>
      </w:r>
      <w:bookmarkEnd w:id="184"/>
      <w:r w:rsidR="004C3C72" w:rsidRPr="004C3C72">
        <w:t xml:space="preserve">. </w:t>
      </w:r>
    </w:p>
    <w:p w14:paraId="3EFE073D" w14:textId="513DD62A" w:rsidR="00EE31A7" w:rsidRDefault="00CC68A5" w:rsidP="00424BD1">
      <w:pPr>
        <w:widowControl/>
        <w:spacing w:before="120" w:after="120"/>
      </w:pPr>
      <w:r>
        <w:t>Some submitters were concerned that permitting health claims on</w:t>
      </w:r>
      <w:r w:rsidR="00F30226">
        <w:t xml:space="preserve"> electrolyte drinks </w:t>
      </w:r>
      <w:r>
        <w:t xml:space="preserve">would </w:t>
      </w:r>
      <w:r w:rsidR="00641BFE">
        <w:t xml:space="preserve">give </w:t>
      </w:r>
      <w:r w:rsidR="00DF5E67">
        <w:t>them</w:t>
      </w:r>
      <w:r w:rsidR="00641BFE">
        <w:t xml:space="preserve"> a ‘health halo’ and promote their consumption</w:t>
      </w:r>
      <w:r w:rsidR="00C60F30">
        <w:t xml:space="preserve"> </w:t>
      </w:r>
      <w:r>
        <w:t xml:space="preserve">inconsistent with national nutrition </w:t>
      </w:r>
      <w:r w:rsidR="00EE31A7">
        <w:t xml:space="preserve">guidelines. </w:t>
      </w:r>
      <w:r w:rsidR="00D85569">
        <w:t>Another concern was</w:t>
      </w:r>
      <w:r w:rsidR="00EE31A7">
        <w:t xml:space="preserve"> that h</w:t>
      </w:r>
      <w:r w:rsidR="00EE31A7" w:rsidRPr="00EE31A7">
        <w:t xml:space="preserve">ealth claims </w:t>
      </w:r>
      <w:r w:rsidR="005348D5">
        <w:t>on</w:t>
      </w:r>
      <w:r w:rsidR="00F30226">
        <w:t xml:space="preserve"> electrolyte drinks </w:t>
      </w:r>
      <w:r w:rsidR="00EE31A7">
        <w:t>would</w:t>
      </w:r>
      <w:r w:rsidR="00EE31A7" w:rsidRPr="00EE31A7">
        <w:t xml:space="preserve"> </w:t>
      </w:r>
      <w:r w:rsidR="005348D5">
        <w:t>lead to over-consumption of sugar</w:t>
      </w:r>
      <w:r w:rsidR="005348D5" w:rsidRPr="00EE31A7">
        <w:t xml:space="preserve"> </w:t>
      </w:r>
      <w:r w:rsidR="005348D5">
        <w:t xml:space="preserve">by </w:t>
      </w:r>
      <w:r w:rsidR="00EE31A7" w:rsidRPr="00EE31A7">
        <w:t>mislead</w:t>
      </w:r>
      <w:r w:rsidR="005348D5">
        <w:t>ing</w:t>
      </w:r>
      <w:r w:rsidR="00EE31A7" w:rsidRPr="00EE31A7">
        <w:t xml:space="preserve"> people into thinking</w:t>
      </w:r>
      <w:r w:rsidR="00F30226">
        <w:t xml:space="preserve"> electrolyte drinks </w:t>
      </w:r>
      <w:r w:rsidR="005348D5">
        <w:t xml:space="preserve">were </w:t>
      </w:r>
      <w:r w:rsidR="00EE31A7" w:rsidRPr="00EE31A7">
        <w:t xml:space="preserve">beneficial to anyone </w:t>
      </w:r>
      <w:r w:rsidR="00C60F30" w:rsidRPr="00EE31A7">
        <w:t>regardless of the</w:t>
      </w:r>
      <w:r w:rsidR="00C60F30">
        <w:t>ir</w:t>
      </w:r>
      <w:r w:rsidR="00C60F30" w:rsidRPr="00EE31A7">
        <w:t xml:space="preserve"> </w:t>
      </w:r>
      <w:r w:rsidR="00C60F30">
        <w:t xml:space="preserve">level of </w:t>
      </w:r>
      <w:r w:rsidR="00C60F30" w:rsidRPr="00EE31A7">
        <w:t>physical activity</w:t>
      </w:r>
      <w:r w:rsidR="00C60F30">
        <w:t>,</w:t>
      </w:r>
      <w:r w:rsidR="00C60F30" w:rsidRPr="00EE31A7">
        <w:t xml:space="preserve"> </w:t>
      </w:r>
      <w:r w:rsidR="00EE31A7">
        <w:t xml:space="preserve">or </w:t>
      </w:r>
      <w:r w:rsidR="005348D5">
        <w:t>that</w:t>
      </w:r>
      <w:r w:rsidR="00F30226">
        <w:t xml:space="preserve"> electrolyte drinks </w:t>
      </w:r>
      <w:r w:rsidR="005348D5">
        <w:t xml:space="preserve">were </w:t>
      </w:r>
      <w:r w:rsidR="00EE31A7">
        <w:t xml:space="preserve">part of a healthy diet. </w:t>
      </w:r>
      <w:r w:rsidR="00C16618">
        <w:t>It was stated that a</w:t>
      </w:r>
      <w:r w:rsidR="00C16618" w:rsidRPr="00EE31A7">
        <w:t>thletes who benefit from using</w:t>
      </w:r>
      <w:r w:rsidR="00F30226">
        <w:t xml:space="preserve"> electrolyte drinks </w:t>
      </w:r>
      <w:r w:rsidR="00C16618" w:rsidRPr="00EE31A7">
        <w:t>do not require further information in the form of health claims as they receive information from other sources.</w:t>
      </w:r>
      <w:r w:rsidR="00C16618" w:rsidRPr="00C16618">
        <w:t xml:space="preserve"> </w:t>
      </w:r>
      <w:r w:rsidR="00EE31A7">
        <w:t>Some submitters considered a stronger rationale was required to exempt</w:t>
      </w:r>
      <w:r w:rsidR="00F30226">
        <w:t xml:space="preserve"> electrolyte drinks </w:t>
      </w:r>
      <w:r w:rsidR="00EE31A7">
        <w:t xml:space="preserve">from meeting the NPSC to carry a health claim. </w:t>
      </w:r>
    </w:p>
    <w:p w14:paraId="6C6D7B4E" w14:textId="30395DB4" w:rsidR="00DE36D3" w:rsidRDefault="00D85569" w:rsidP="00424BD1">
      <w:pPr>
        <w:widowControl/>
        <w:spacing w:before="120" w:after="120"/>
      </w:pPr>
      <w:r>
        <w:t>Conversely, o</w:t>
      </w:r>
      <w:r w:rsidR="00C16618">
        <w:t>ne submitter did not support the proposed r</w:t>
      </w:r>
      <w:r w:rsidR="00C16618" w:rsidRPr="00C16618">
        <w:t xml:space="preserve">estriction on </w:t>
      </w:r>
      <w:r w:rsidR="00C16618">
        <w:t xml:space="preserve">the </w:t>
      </w:r>
      <w:r w:rsidR="00C16618" w:rsidRPr="00C16618">
        <w:t>scope of health claim</w:t>
      </w:r>
      <w:r w:rsidR="00C16618">
        <w:t xml:space="preserve">s permitted as this would </w:t>
      </w:r>
      <w:r w:rsidR="00C16618" w:rsidRPr="00C16618">
        <w:t xml:space="preserve">unnecessarily restrict innovation </w:t>
      </w:r>
      <w:r w:rsidR="00C16618">
        <w:t xml:space="preserve">and </w:t>
      </w:r>
      <w:r w:rsidR="00C16618" w:rsidRPr="00C16618">
        <w:t xml:space="preserve">the </w:t>
      </w:r>
      <w:r w:rsidR="00C16618" w:rsidRPr="00C16618">
        <w:lastRenderedPageBreak/>
        <w:t>growth of scientific evidence regarding the application of</w:t>
      </w:r>
      <w:r w:rsidR="00F30226">
        <w:t xml:space="preserve"> electrolyte drinks </w:t>
      </w:r>
      <w:r w:rsidR="00C16618" w:rsidRPr="00C16618">
        <w:t xml:space="preserve">in sports performance. </w:t>
      </w:r>
      <w:r w:rsidR="005348D5">
        <w:t xml:space="preserve">The restriction was </w:t>
      </w:r>
      <w:r w:rsidR="00C16618">
        <w:t>re</w:t>
      </w:r>
      <w:r w:rsidR="00C16618" w:rsidRPr="00C16618">
        <w:t>commend</w:t>
      </w:r>
      <w:r w:rsidR="00C16618">
        <w:t xml:space="preserve">ed </w:t>
      </w:r>
      <w:r w:rsidR="005348D5">
        <w:t xml:space="preserve">to be removed and to instead </w:t>
      </w:r>
      <w:r w:rsidR="00C16618">
        <w:t>rely on the evidence requirements in S</w:t>
      </w:r>
      <w:r w:rsidR="00C16618" w:rsidRPr="00C16618">
        <w:t>tandard 1.2.7</w:t>
      </w:r>
      <w:r w:rsidR="00C16618">
        <w:t xml:space="preserve"> to support evidence-based claims. </w:t>
      </w:r>
    </w:p>
    <w:p w14:paraId="5D37A0F4" w14:textId="68A5C4FE" w:rsidR="0012142E" w:rsidRDefault="00C16618" w:rsidP="00424BD1">
      <w:pPr>
        <w:widowControl/>
        <w:spacing w:before="120" w:after="120"/>
      </w:pPr>
      <w:r>
        <w:t>Some submitters c</w:t>
      </w:r>
      <w:r w:rsidRPr="00EE31A7">
        <w:t>onsider</w:t>
      </w:r>
      <w:r>
        <w:t>ed</w:t>
      </w:r>
      <w:r w:rsidRPr="00EE31A7">
        <w:t xml:space="preserve"> the current permitted claim should be reviewed against current evidence and</w:t>
      </w:r>
      <w:r w:rsidR="005348D5">
        <w:t>,</w:t>
      </w:r>
      <w:r w:rsidRPr="00EE31A7">
        <w:t xml:space="preserve"> if consi</w:t>
      </w:r>
      <w:r>
        <w:t>dered appropriate</w:t>
      </w:r>
      <w:r w:rsidR="005348D5">
        <w:t>,</w:t>
      </w:r>
      <w:r>
        <w:t xml:space="preserve"> </w:t>
      </w:r>
      <w:r w:rsidR="005348D5">
        <w:t>to be</w:t>
      </w:r>
      <w:r>
        <w:t xml:space="preserve"> included in</w:t>
      </w:r>
      <w:r w:rsidRPr="00EE31A7">
        <w:t xml:space="preserve"> Standard 1.2.7. </w:t>
      </w:r>
    </w:p>
    <w:p w14:paraId="7FD62978" w14:textId="21973761" w:rsidR="00C16618" w:rsidRDefault="00FF2730" w:rsidP="00424BD1">
      <w:pPr>
        <w:widowControl/>
        <w:spacing w:before="120" w:after="120"/>
      </w:pPr>
      <w:r>
        <w:t xml:space="preserve">One submitter noted there was no requirement for a </w:t>
      </w:r>
      <w:r w:rsidRPr="00C16618">
        <w:t xml:space="preserve">dietary context statement </w:t>
      </w:r>
      <w:r>
        <w:t>to be included in the wording of the claims currently permitted under Standard 2.6.2, which is inconsistent with the approach in Standard 1.2.7. Another considered the claim</w:t>
      </w:r>
      <w:r w:rsidR="00DE36D3">
        <w:t>s</w:t>
      </w:r>
      <w:r>
        <w:t xml:space="preserve"> should </w:t>
      </w:r>
      <w:r w:rsidR="00C16618">
        <w:t xml:space="preserve">state the </w:t>
      </w:r>
      <w:r w:rsidR="004C3C72">
        <w:t xml:space="preserve">target consumer and </w:t>
      </w:r>
      <w:r w:rsidR="00C16618">
        <w:t xml:space="preserve">exercise conditions </w:t>
      </w:r>
      <w:r w:rsidR="00AA72E3">
        <w:t>to</w:t>
      </w:r>
      <w:r w:rsidR="00C16618">
        <w:t xml:space="preserve"> which the stated performance benefit applies</w:t>
      </w:r>
      <w:r>
        <w:t xml:space="preserve"> and that a </w:t>
      </w:r>
      <w:r w:rsidR="00C16618">
        <w:t xml:space="preserve">definition of sustained strenuous exercise is </w:t>
      </w:r>
      <w:r w:rsidR="00C16618" w:rsidRPr="00F94980">
        <w:t xml:space="preserve">required and should appear on the label and </w:t>
      </w:r>
      <w:r w:rsidR="00766D56">
        <w:t>i</w:t>
      </w:r>
      <w:r w:rsidR="00766D56" w:rsidRPr="00F94980">
        <w:t xml:space="preserve">n </w:t>
      </w:r>
      <w:r w:rsidR="00C16618" w:rsidRPr="00F94980">
        <w:t xml:space="preserve">advertising. </w:t>
      </w:r>
    </w:p>
    <w:p w14:paraId="652CFD1F" w14:textId="26F9C0E6" w:rsidR="00D26D5D" w:rsidRDefault="00B16788" w:rsidP="00424BD1">
      <w:pPr>
        <w:pStyle w:val="Heading4"/>
        <w:widowControl/>
        <w:spacing w:before="120" w:after="120"/>
      </w:pPr>
      <w:r>
        <w:t>2.3.</w:t>
      </w:r>
      <w:r w:rsidR="00641BFE">
        <w:t>5</w:t>
      </w:r>
      <w:r>
        <w:t>.2</w:t>
      </w:r>
      <w:r w:rsidR="002038C5">
        <w:tab/>
      </w:r>
      <w:r w:rsidR="00F46D4F">
        <w:t xml:space="preserve">Proposed </w:t>
      </w:r>
      <w:r w:rsidR="005E0DE2">
        <w:t xml:space="preserve">new </w:t>
      </w:r>
      <w:r w:rsidR="00F46D4F">
        <w:t xml:space="preserve">approach </w:t>
      </w:r>
    </w:p>
    <w:p w14:paraId="1839A6BE" w14:textId="342F845B" w:rsidR="00962069" w:rsidRDefault="00450F62" w:rsidP="005C5F65">
      <w:pPr>
        <w:widowControl/>
        <w:spacing w:before="120" w:after="120"/>
      </w:pPr>
      <w:r>
        <w:t xml:space="preserve">FSANZ is proposing to </w:t>
      </w:r>
      <w:r w:rsidR="00D97043">
        <w:t xml:space="preserve">amend </w:t>
      </w:r>
      <w:r>
        <w:t xml:space="preserve">the claim </w:t>
      </w:r>
      <w:r w:rsidR="00A77128">
        <w:t xml:space="preserve">permission </w:t>
      </w:r>
      <w:r>
        <w:t xml:space="preserve">in </w:t>
      </w:r>
      <w:r w:rsidR="0080612E">
        <w:t>subsection</w:t>
      </w:r>
      <w:r>
        <w:t xml:space="preserve"> 2.6.2</w:t>
      </w:r>
      <w:r w:rsidR="00CA62A5">
        <w:t>—12</w:t>
      </w:r>
      <w:r w:rsidR="0080612E">
        <w:t>(3)</w:t>
      </w:r>
      <w:r w:rsidR="00B56685">
        <w:t xml:space="preserve">, as detailed </w:t>
      </w:r>
      <w:r w:rsidR="008378C6">
        <w:t>in the subsections</w:t>
      </w:r>
      <w:r w:rsidR="00962069">
        <w:t xml:space="preserve"> below</w:t>
      </w:r>
      <w:r>
        <w:t xml:space="preserve">. </w:t>
      </w:r>
      <w:r w:rsidR="00962069">
        <w:t xml:space="preserve">In summary, </w:t>
      </w:r>
      <w:r w:rsidR="006939D4">
        <w:t>FSANZ</w:t>
      </w:r>
      <w:r w:rsidR="00962069">
        <w:t xml:space="preserve"> is proposing to</w:t>
      </w:r>
      <w:r w:rsidR="005C5F65">
        <w:t xml:space="preserve"> p</w:t>
      </w:r>
      <w:r w:rsidR="00962069">
        <w:t xml:space="preserve">rohibit health claims on electrolyte drinks, </w:t>
      </w:r>
      <w:r w:rsidR="00962069" w:rsidRPr="00247605">
        <w:t xml:space="preserve">including self-substantiated </w:t>
      </w:r>
      <w:r w:rsidR="00962069">
        <w:t xml:space="preserve">health </w:t>
      </w:r>
      <w:r w:rsidR="00962069" w:rsidRPr="00247605">
        <w:t>claims</w:t>
      </w:r>
      <w:r w:rsidR="00962069">
        <w:t>, other than for three specific claims. The three exceptions would be health claims for: hydration during strenuous physical activity; rehydration after strenuous physical activity; and hydration to maintain performance. Each claim would be required to refer to effects occurring under conditions of strenuous physical activity for a minimum time period of 60 minutes. These three health claims would be permitted on electrolyte drinks with a</w:t>
      </w:r>
      <w:r w:rsidR="00903296">
        <w:t xml:space="preserve">n average osmolality of </w:t>
      </w:r>
      <w:r w:rsidR="00962069">
        <w:t>2</w:t>
      </w:r>
      <w:r w:rsidR="00E2103A">
        <w:t>0</w:t>
      </w:r>
      <w:r w:rsidR="00962069">
        <w:t>0</w:t>
      </w:r>
      <w:r w:rsidR="00903296">
        <w:t>-340</w:t>
      </w:r>
      <w:r w:rsidR="00962069">
        <w:t xml:space="preserve"> mOsm/</w:t>
      </w:r>
      <w:r w:rsidR="00903296">
        <w:t>kg</w:t>
      </w:r>
      <w:r w:rsidR="00962069">
        <w:t>.</w:t>
      </w:r>
    </w:p>
    <w:p w14:paraId="2EB4FBE4" w14:textId="19D1E44C" w:rsidR="00CC4E77" w:rsidRDefault="00CC4E77" w:rsidP="00424BD1">
      <w:pPr>
        <w:widowControl/>
        <w:spacing w:before="120" w:after="120"/>
      </w:pPr>
      <w:r>
        <w:t xml:space="preserve">The rationale for this approach is to </w:t>
      </w:r>
      <w:r w:rsidR="00F05944">
        <w:t>reduc</w:t>
      </w:r>
      <w:r>
        <w:t>e</w:t>
      </w:r>
      <w:r w:rsidR="00F05944">
        <w:t xml:space="preserve"> the potential for </w:t>
      </w:r>
      <w:r w:rsidR="00247605">
        <w:t xml:space="preserve">non-target </w:t>
      </w:r>
      <w:r w:rsidR="00F05944">
        <w:t>consumers to be misled about the</w:t>
      </w:r>
      <w:r>
        <w:t xml:space="preserve"> </w:t>
      </w:r>
      <w:r w:rsidR="00F05944">
        <w:t xml:space="preserve">benefits </w:t>
      </w:r>
      <w:r>
        <w:t>of</w:t>
      </w:r>
      <w:r w:rsidR="00F30226">
        <w:t xml:space="preserve"> electrolyte drinks </w:t>
      </w:r>
      <w:r w:rsidR="00F05944">
        <w:t xml:space="preserve">and </w:t>
      </w:r>
      <w:r>
        <w:t xml:space="preserve">their </w:t>
      </w:r>
      <w:r w:rsidR="00F05944">
        <w:t>place in the diet</w:t>
      </w:r>
      <w:r w:rsidR="00AA72E3">
        <w:t xml:space="preserve">. </w:t>
      </w:r>
      <w:r>
        <w:t xml:space="preserve">The proposed approach </w:t>
      </w:r>
      <w:r w:rsidR="009E6C56">
        <w:t xml:space="preserve">would </w:t>
      </w:r>
      <w:r w:rsidR="006939D4">
        <w:t xml:space="preserve">result in a similar situation to </w:t>
      </w:r>
      <w:r>
        <w:t>the current situation whereby most</w:t>
      </w:r>
      <w:r w:rsidR="00F30226">
        <w:t xml:space="preserve"> electrolyte drinks </w:t>
      </w:r>
      <w:r w:rsidR="009E6C56">
        <w:t xml:space="preserve">would not be able to </w:t>
      </w:r>
      <w:r>
        <w:t xml:space="preserve">make health claims according to Standard 1.2.7 </w:t>
      </w:r>
      <w:r w:rsidR="006939D4">
        <w:t>(</w:t>
      </w:r>
      <w:r>
        <w:t>as they do not meet the NPSC</w:t>
      </w:r>
      <w:r w:rsidR="006939D4">
        <w:t>)</w:t>
      </w:r>
      <w:r w:rsidR="001A3090">
        <w:t xml:space="preserve">, but </w:t>
      </w:r>
      <w:r w:rsidR="00DE6871">
        <w:t xml:space="preserve">would </w:t>
      </w:r>
      <w:r w:rsidR="001A3090">
        <w:t>provide for specific relevant claims</w:t>
      </w:r>
      <w:r w:rsidR="005C5F65">
        <w:t xml:space="preserve"> associated with the purpose of electrolyte drinks.</w:t>
      </w:r>
      <w:r w:rsidR="006939D4">
        <w:t xml:space="preserve"> FSANZ proposes that the requirements in Standard 1.2.7 </w:t>
      </w:r>
      <w:r w:rsidR="00DE6871">
        <w:t xml:space="preserve">would </w:t>
      </w:r>
      <w:r w:rsidR="006939D4">
        <w:t xml:space="preserve">not apply to these claims, however specific wording requirements regarding the target population </w:t>
      </w:r>
      <w:r w:rsidR="00A15C3A">
        <w:t xml:space="preserve">are included (as detailed in </w:t>
      </w:r>
      <w:r w:rsidR="0043543F">
        <w:t xml:space="preserve">Section </w:t>
      </w:r>
      <w:r w:rsidR="00A15C3A">
        <w:t>2.3.5.2.2</w:t>
      </w:r>
      <w:r w:rsidR="0043543F" w:rsidRPr="0043543F">
        <w:t xml:space="preserve"> </w:t>
      </w:r>
      <w:r w:rsidR="0043543F">
        <w:t xml:space="preserve">of this </w:t>
      </w:r>
      <w:r w:rsidR="00417F12">
        <w:t>C</w:t>
      </w:r>
      <w:r w:rsidR="0043543F">
        <w:t>onsultation paper</w:t>
      </w:r>
      <w:r w:rsidR="00A15C3A">
        <w:t>).</w:t>
      </w:r>
    </w:p>
    <w:p w14:paraId="3D25D01D" w14:textId="5138E693" w:rsidR="00266AE3" w:rsidDel="007D19D6" w:rsidRDefault="00F05944" w:rsidP="00424BD1">
      <w:pPr>
        <w:widowControl/>
        <w:spacing w:before="120" w:after="120"/>
      </w:pPr>
      <w:r>
        <w:t xml:space="preserve">The overall approach </w:t>
      </w:r>
      <w:r w:rsidR="00CC4E77">
        <w:t>for health claims about</w:t>
      </w:r>
      <w:r w:rsidR="00F30226">
        <w:t xml:space="preserve"> electrolyte drinks </w:t>
      </w:r>
      <w:r>
        <w:t xml:space="preserve">will be reconsidered in the </w:t>
      </w:r>
      <w:r w:rsidR="008A08AD">
        <w:t xml:space="preserve">broader </w:t>
      </w:r>
      <w:r>
        <w:t xml:space="preserve">context of the regulation of sports foods under P1010. </w:t>
      </w:r>
      <w:r w:rsidR="00266AE3">
        <w:t xml:space="preserve"> </w:t>
      </w:r>
    </w:p>
    <w:p w14:paraId="5C544014" w14:textId="67D72ADF" w:rsidR="00DB7E14" w:rsidRPr="00822D09" w:rsidRDefault="00B56685" w:rsidP="00E86EB9">
      <w:pPr>
        <w:pStyle w:val="Heading5"/>
      </w:pPr>
      <w:r w:rsidRPr="00822D09">
        <w:t>2.3.5.2.1</w:t>
      </w:r>
      <w:r w:rsidRPr="00822D09">
        <w:tab/>
      </w:r>
      <w:r w:rsidR="00AB5913" w:rsidRPr="00822D09">
        <w:rPr>
          <w:u w:val="single"/>
        </w:rPr>
        <w:t xml:space="preserve">Permitted </w:t>
      </w:r>
      <w:r w:rsidR="00A77128">
        <w:rPr>
          <w:u w:val="single"/>
        </w:rPr>
        <w:t xml:space="preserve">health </w:t>
      </w:r>
      <w:r w:rsidR="00AB5913" w:rsidRPr="00822D09">
        <w:rPr>
          <w:u w:val="single"/>
        </w:rPr>
        <w:t>claim</w:t>
      </w:r>
      <w:r w:rsidR="00B04AA4">
        <w:rPr>
          <w:u w:val="single"/>
        </w:rPr>
        <w:t>s</w:t>
      </w:r>
      <w:r w:rsidR="00001D60" w:rsidRPr="00822D09">
        <w:rPr>
          <w:u w:val="single"/>
        </w:rPr>
        <w:t xml:space="preserve"> on</w:t>
      </w:r>
      <w:r w:rsidR="00F30226">
        <w:rPr>
          <w:u w:val="single"/>
        </w:rPr>
        <w:t xml:space="preserve"> electrolyte drinks </w:t>
      </w:r>
    </w:p>
    <w:p w14:paraId="5D70E7FF" w14:textId="19670F44" w:rsidR="007B2519" w:rsidRPr="004B2591" w:rsidRDefault="007B2519" w:rsidP="00424BD1">
      <w:pPr>
        <w:widowControl/>
        <w:spacing w:before="120" w:after="120"/>
      </w:pPr>
      <w:r w:rsidRPr="004B2591">
        <w:t>The current claim</w:t>
      </w:r>
      <w:r w:rsidR="00B25114">
        <w:t xml:space="preserve"> </w:t>
      </w:r>
      <w:r w:rsidR="00A1417D">
        <w:t>permission</w:t>
      </w:r>
      <w:r w:rsidR="00A1417D" w:rsidRPr="004B2591">
        <w:t xml:space="preserve"> </w:t>
      </w:r>
      <w:r w:rsidRPr="004B2591">
        <w:t xml:space="preserve">in </w:t>
      </w:r>
      <w:r w:rsidR="0080612E">
        <w:t>subsection</w:t>
      </w:r>
      <w:r w:rsidRPr="004B2591">
        <w:t xml:space="preserve"> 2.6.2—12(3) </w:t>
      </w:r>
      <w:r w:rsidR="00557954">
        <w:t>is</w:t>
      </w:r>
      <w:r w:rsidR="00B25114">
        <w:t>:</w:t>
      </w:r>
    </w:p>
    <w:p w14:paraId="26CE345C" w14:textId="77777777" w:rsidR="007B2519" w:rsidRPr="004B2591" w:rsidRDefault="007B2519" w:rsidP="00424BD1">
      <w:pPr>
        <w:widowControl/>
        <w:spacing w:before="120" w:after="120"/>
        <w:ind w:left="567"/>
      </w:pPr>
      <w:r w:rsidRPr="004B2591">
        <w:rPr>
          <w:i/>
        </w:rPr>
        <w:t>The label on a package of isotonic electrolyte drink may include words to the effect that the product is designed to promote the availability of energy and to prevent or treat mild dehydration that may occur as a result of sustained strenuous exercise.</w:t>
      </w:r>
    </w:p>
    <w:p w14:paraId="640AF782" w14:textId="575AD666" w:rsidR="007B2519" w:rsidRDefault="007B2519" w:rsidP="00424BD1">
      <w:pPr>
        <w:widowControl/>
        <w:spacing w:before="120" w:after="120"/>
      </w:pPr>
      <w:r>
        <w:t>It is noted that the wording</w:t>
      </w:r>
      <w:r w:rsidR="00B25114">
        <w:t xml:space="preserve"> of </w:t>
      </w:r>
      <w:r w:rsidR="00AA72E3">
        <w:t xml:space="preserve">the current </w:t>
      </w:r>
      <w:r w:rsidR="00B25114">
        <w:t>claim</w:t>
      </w:r>
      <w:r>
        <w:t xml:space="preserve"> is not prescribed, but </w:t>
      </w:r>
      <w:r w:rsidR="00AA72E3">
        <w:t>is</w:t>
      </w:r>
      <w:r>
        <w:t xml:space="preserve"> ‘to the effect’ </w:t>
      </w:r>
      <w:r w:rsidRPr="004100C0">
        <w:rPr>
          <w:i/>
        </w:rPr>
        <w:t>that the product is designed to…</w:t>
      </w:r>
      <w:r>
        <w:t xml:space="preserve"> which gives manufacturers some latitude in composing their claims according to the </w:t>
      </w:r>
      <w:r w:rsidR="004B246D">
        <w:t xml:space="preserve">Code’s </w:t>
      </w:r>
      <w:r>
        <w:t>intent. This level of prescription is the same as that for health claims regulated by Standard 1.2.7.</w:t>
      </w:r>
    </w:p>
    <w:p w14:paraId="369B1DDF" w14:textId="01F609FE" w:rsidR="007B2519" w:rsidRPr="00EA0668" w:rsidRDefault="00B201D5" w:rsidP="00EA0668">
      <w:pPr>
        <w:pStyle w:val="Default"/>
        <w:spacing w:before="120" w:after="120"/>
        <w:rPr>
          <w:rFonts w:ascii="Arial" w:hAnsi="Arial" w:cs="Arial"/>
          <w:sz w:val="22"/>
          <w:szCs w:val="22"/>
        </w:rPr>
      </w:pPr>
      <w:r w:rsidRPr="00DA53E5">
        <w:rPr>
          <w:rFonts w:ascii="Arial" w:hAnsi="Arial" w:cs="Arial"/>
          <w:sz w:val="22"/>
          <w:szCs w:val="22"/>
        </w:rPr>
        <w:t>The proposed redu</w:t>
      </w:r>
      <w:r w:rsidR="00AA72E3" w:rsidRPr="00DA53E5">
        <w:rPr>
          <w:rFonts w:ascii="Arial" w:hAnsi="Arial" w:cs="Arial"/>
          <w:sz w:val="22"/>
          <w:szCs w:val="22"/>
        </w:rPr>
        <w:t>ction in</w:t>
      </w:r>
      <w:r w:rsidRPr="00DA53E5">
        <w:rPr>
          <w:rFonts w:ascii="Arial" w:hAnsi="Arial" w:cs="Arial"/>
          <w:sz w:val="22"/>
          <w:szCs w:val="22"/>
        </w:rPr>
        <w:t xml:space="preserve"> minimum </w:t>
      </w:r>
      <w:r w:rsidR="0052629D">
        <w:rPr>
          <w:rFonts w:ascii="Arial" w:hAnsi="Arial" w:cs="Arial"/>
          <w:sz w:val="22"/>
          <w:szCs w:val="22"/>
        </w:rPr>
        <w:t>carbohydrate</w:t>
      </w:r>
      <w:r w:rsidRPr="00DA53E5">
        <w:rPr>
          <w:rFonts w:ascii="Arial" w:hAnsi="Arial" w:cs="Arial"/>
          <w:sz w:val="22"/>
          <w:szCs w:val="22"/>
        </w:rPr>
        <w:t xml:space="preserve"> </w:t>
      </w:r>
      <w:r w:rsidR="00AA72E3" w:rsidRPr="00DA53E5">
        <w:rPr>
          <w:rFonts w:ascii="Arial" w:hAnsi="Arial" w:cs="Arial"/>
          <w:sz w:val="22"/>
          <w:szCs w:val="22"/>
        </w:rPr>
        <w:t xml:space="preserve">content while retaining the </w:t>
      </w:r>
      <w:r w:rsidR="005348D5">
        <w:rPr>
          <w:rFonts w:ascii="Arial" w:hAnsi="Arial" w:cs="Arial"/>
          <w:sz w:val="22"/>
          <w:szCs w:val="22"/>
        </w:rPr>
        <w:t>current</w:t>
      </w:r>
      <w:r w:rsidR="00AA72E3" w:rsidRPr="00DA53E5">
        <w:rPr>
          <w:rFonts w:ascii="Arial" w:hAnsi="Arial" w:cs="Arial"/>
          <w:sz w:val="22"/>
          <w:szCs w:val="22"/>
        </w:rPr>
        <w:t xml:space="preserve"> maximum </w:t>
      </w:r>
      <w:r w:rsidR="0052629D">
        <w:rPr>
          <w:rFonts w:ascii="Arial" w:hAnsi="Arial" w:cs="Arial"/>
          <w:sz w:val="22"/>
          <w:szCs w:val="22"/>
        </w:rPr>
        <w:t>carbohydrate</w:t>
      </w:r>
      <w:r w:rsidR="00AA72E3" w:rsidRPr="00DA53E5">
        <w:rPr>
          <w:rFonts w:ascii="Arial" w:hAnsi="Arial" w:cs="Arial"/>
          <w:sz w:val="22"/>
          <w:szCs w:val="22"/>
        </w:rPr>
        <w:t xml:space="preserve"> </w:t>
      </w:r>
      <w:r w:rsidR="00247605">
        <w:rPr>
          <w:rFonts w:ascii="Arial" w:hAnsi="Arial" w:cs="Arial"/>
          <w:sz w:val="22"/>
          <w:szCs w:val="22"/>
        </w:rPr>
        <w:t>level</w:t>
      </w:r>
      <w:r w:rsidR="00E86EB9">
        <w:rPr>
          <w:rFonts w:ascii="Arial" w:hAnsi="Arial" w:cs="Arial"/>
          <w:sz w:val="22"/>
          <w:szCs w:val="22"/>
        </w:rPr>
        <w:t xml:space="preserve"> </w:t>
      </w:r>
      <w:r w:rsidR="005348D5">
        <w:rPr>
          <w:rFonts w:ascii="Arial" w:hAnsi="Arial" w:cs="Arial"/>
          <w:sz w:val="22"/>
          <w:szCs w:val="22"/>
        </w:rPr>
        <w:t>increases</w:t>
      </w:r>
      <w:r w:rsidRPr="00DA53E5">
        <w:rPr>
          <w:rFonts w:ascii="Arial" w:hAnsi="Arial" w:cs="Arial"/>
          <w:sz w:val="22"/>
          <w:szCs w:val="22"/>
        </w:rPr>
        <w:t xml:space="preserve"> the </w:t>
      </w:r>
      <w:r w:rsidR="005348D5" w:rsidRPr="00DA53E5">
        <w:rPr>
          <w:rFonts w:ascii="Arial" w:hAnsi="Arial" w:cs="Arial"/>
          <w:sz w:val="22"/>
          <w:szCs w:val="22"/>
        </w:rPr>
        <w:t xml:space="preserve">range </w:t>
      </w:r>
      <w:r w:rsidR="005348D5">
        <w:rPr>
          <w:rFonts w:ascii="Arial" w:hAnsi="Arial" w:cs="Arial"/>
          <w:sz w:val="22"/>
          <w:szCs w:val="22"/>
        </w:rPr>
        <w:t xml:space="preserve">of </w:t>
      </w:r>
      <w:r w:rsidR="0052629D">
        <w:rPr>
          <w:rFonts w:ascii="Arial" w:hAnsi="Arial" w:cs="Arial"/>
          <w:sz w:val="22"/>
          <w:szCs w:val="22"/>
        </w:rPr>
        <w:t>carbohydrate</w:t>
      </w:r>
      <w:r w:rsidR="00AA72E3" w:rsidRPr="00DA53E5">
        <w:rPr>
          <w:rFonts w:ascii="Arial" w:hAnsi="Arial" w:cs="Arial"/>
          <w:sz w:val="22"/>
          <w:szCs w:val="22"/>
        </w:rPr>
        <w:t xml:space="preserve"> </w:t>
      </w:r>
      <w:r w:rsidRPr="00DA53E5">
        <w:rPr>
          <w:rFonts w:ascii="Arial" w:hAnsi="Arial" w:cs="Arial"/>
          <w:sz w:val="22"/>
          <w:szCs w:val="22"/>
        </w:rPr>
        <w:t xml:space="preserve">permitted </w:t>
      </w:r>
      <w:r w:rsidR="005348D5">
        <w:rPr>
          <w:rFonts w:ascii="Arial" w:hAnsi="Arial" w:cs="Arial"/>
          <w:sz w:val="22"/>
          <w:szCs w:val="22"/>
        </w:rPr>
        <w:t>in</w:t>
      </w:r>
      <w:r w:rsidR="0052629D">
        <w:rPr>
          <w:rFonts w:ascii="Arial" w:hAnsi="Arial" w:cs="Arial"/>
          <w:sz w:val="22"/>
          <w:szCs w:val="22"/>
        </w:rPr>
        <w:t xml:space="preserve"> electrolyte drinks.</w:t>
      </w:r>
      <w:r w:rsidR="00394BAC">
        <w:rPr>
          <w:rFonts w:ascii="Arial" w:hAnsi="Arial" w:cs="Arial"/>
          <w:sz w:val="22"/>
          <w:szCs w:val="22"/>
        </w:rPr>
        <w:t xml:space="preserve"> </w:t>
      </w:r>
      <w:r w:rsidR="005E531E" w:rsidRPr="00DA53E5">
        <w:rPr>
          <w:rFonts w:ascii="Arial" w:hAnsi="Arial" w:cs="Arial"/>
          <w:sz w:val="22"/>
          <w:szCs w:val="22"/>
        </w:rPr>
        <w:t xml:space="preserve">Consistent with this compositional change </w:t>
      </w:r>
      <w:r w:rsidR="00104DBC" w:rsidRPr="00DA53E5">
        <w:rPr>
          <w:rFonts w:ascii="Arial" w:hAnsi="Arial" w:cs="Arial"/>
          <w:sz w:val="22"/>
          <w:szCs w:val="22"/>
        </w:rPr>
        <w:t>and</w:t>
      </w:r>
      <w:r w:rsidR="00EA0668">
        <w:rPr>
          <w:rFonts w:ascii="Arial" w:hAnsi="Arial" w:cs="Arial"/>
          <w:sz w:val="22"/>
          <w:szCs w:val="22"/>
        </w:rPr>
        <w:t xml:space="preserve">, based on the </w:t>
      </w:r>
      <w:r w:rsidR="00EA0668" w:rsidRPr="00EA0668">
        <w:rPr>
          <w:rFonts w:ascii="Arial" w:hAnsi="Arial" w:cs="Arial"/>
          <w:sz w:val="22"/>
          <w:szCs w:val="22"/>
        </w:rPr>
        <w:t xml:space="preserve">assessment of </w:t>
      </w:r>
      <w:r w:rsidR="00EA0668">
        <w:rPr>
          <w:rFonts w:ascii="Arial" w:hAnsi="Arial" w:cs="Arial"/>
          <w:sz w:val="22"/>
          <w:szCs w:val="22"/>
        </w:rPr>
        <w:t>scientific evidence,</w:t>
      </w:r>
      <w:r w:rsidR="00104DBC" w:rsidRPr="00DA53E5">
        <w:rPr>
          <w:rFonts w:ascii="Arial" w:hAnsi="Arial" w:cs="Arial"/>
          <w:sz w:val="22"/>
          <w:szCs w:val="22"/>
        </w:rPr>
        <w:t xml:space="preserve"> </w:t>
      </w:r>
      <w:r w:rsidR="00EA0668" w:rsidRPr="00DA53E5">
        <w:rPr>
          <w:rFonts w:ascii="Arial" w:hAnsi="Arial" w:cs="Arial"/>
          <w:sz w:val="22"/>
          <w:szCs w:val="22"/>
        </w:rPr>
        <w:t xml:space="preserve">FSANZ proposes to </w:t>
      </w:r>
      <w:r w:rsidR="00C477BA">
        <w:rPr>
          <w:rFonts w:ascii="Arial" w:hAnsi="Arial" w:cs="Arial"/>
          <w:sz w:val="22"/>
          <w:szCs w:val="22"/>
        </w:rPr>
        <w:t>amend</w:t>
      </w:r>
      <w:r w:rsidR="00C477BA" w:rsidRPr="00DA53E5">
        <w:rPr>
          <w:rFonts w:ascii="Arial" w:hAnsi="Arial" w:cs="Arial"/>
          <w:sz w:val="22"/>
          <w:szCs w:val="22"/>
        </w:rPr>
        <w:t xml:space="preserve"> </w:t>
      </w:r>
      <w:r w:rsidR="00EA0668" w:rsidRPr="00DA53E5">
        <w:rPr>
          <w:rFonts w:ascii="Arial" w:hAnsi="Arial" w:cs="Arial"/>
          <w:sz w:val="22"/>
          <w:szCs w:val="22"/>
        </w:rPr>
        <w:t xml:space="preserve">the permitted claim </w:t>
      </w:r>
      <w:r w:rsidR="00EA0668">
        <w:rPr>
          <w:rFonts w:ascii="Arial" w:hAnsi="Arial" w:cs="Arial"/>
          <w:sz w:val="22"/>
          <w:szCs w:val="22"/>
        </w:rPr>
        <w:lastRenderedPageBreak/>
        <w:t xml:space="preserve">and </w:t>
      </w:r>
      <w:r w:rsidR="00104DBC" w:rsidRPr="00DA53E5">
        <w:rPr>
          <w:rFonts w:ascii="Arial" w:hAnsi="Arial" w:cs="Arial"/>
          <w:sz w:val="22"/>
          <w:szCs w:val="22"/>
        </w:rPr>
        <w:t xml:space="preserve">to extend </w:t>
      </w:r>
      <w:r w:rsidR="002C1B6F" w:rsidRPr="00DA53E5">
        <w:rPr>
          <w:rFonts w:ascii="Arial" w:hAnsi="Arial" w:cs="Arial"/>
          <w:sz w:val="22"/>
          <w:szCs w:val="22"/>
        </w:rPr>
        <w:t>its</w:t>
      </w:r>
      <w:r w:rsidR="00104DBC" w:rsidRPr="00DA53E5">
        <w:rPr>
          <w:rFonts w:ascii="Arial" w:hAnsi="Arial" w:cs="Arial"/>
          <w:sz w:val="22"/>
          <w:szCs w:val="22"/>
        </w:rPr>
        <w:t xml:space="preserve"> scope to apply to both isotonic and hypotonic </w:t>
      </w:r>
      <w:r w:rsidR="00CF3C9B">
        <w:rPr>
          <w:rFonts w:ascii="Arial" w:hAnsi="Arial" w:cs="Arial"/>
          <w:sz w:val="22"/>
          <w:szCs w:val="22"/>
        </w:rPr>
        <w:t>electrolyte drink</w:t>
      </w:r>
      <w:r w:rsidR="00CF3C9B" w:rsidRPr="00DA53E5">
        <w:rPr>
          <w:rFonts w:ascii="Arial" w:hAnsi="Arial" w:cs="Arial"/>
          <w:sz w:val="22"/>
          <w:szCs w:val="22"/>
        </w:rPr>
        <w:t>s</w:t>
      </w:r>
      <w:r w:rsidR="004100C0" w:rsidRPr="00DA53E5">
        <w:rPr>
          <w:rFonts w:ascii="Arial" w:hAnsi="Arial" w:cs="Arial"/>
          <w:sz w:val="22"/>
          <w:szCs w:val="22"/>
        </w:rPr>
        <w:t xml:space="preserve">, </w:t>
      </w:r>
      <w:r w:rsidR="007B2519" w:rsidRPr="00DA53E5">
        <w:rPr>
          <w:rFonts w:ascii="Arial" w:hAnsi="Arial" w:cs="Arial"/>
          <w:sz w:val="22"/>
          <w:szCs w:val="22"/>
        </w:rPr>
        <w:t>for various reasons explained below.</w:t>
      </w:r>
      <w:r w:rsidR="00394BAC">
        <w:rPr>
          <w:rFonts w:ascii="Arial" w:hAnsi="Arial" w:cs="Arial"/>
          <w:color w:val="auto"/>
          <w:sz w:val="22"/>
          <w:szCs w:val="20"/>
          <w:lang w:eastAsia="en-US" w:bidi="en-US"/>
        </w:rPr>
        <w:t xml:space="preserve"> </w:t>
      </w:r>
      <w:r w:rsidR="00EA0668" w:rsidRPr="00394BAC">
        <w:rPr>
          <w:rFonts w:ascii="Arial" w:hAnsi="Arial" w:cs="Arial"/>
          <w:color w:val="auto"/>
          <w:sz w:val="22"/>
          <w:szCs w:val="20"/>
          <w:lang w:eastAsia="en-US" w:bidi="en-US"/>
        </w:rPr>
        <w:t xml:space="preserve">The </w:t>
      </w:r>
      <w:r w:rsidR="00CB5C05">
        <w:rPr>
          <w:rFonts w:ascii="Arial" w:hAnsi="Arial" w:cs="Arial"/>
          <w:color w:val="auto"/>
          <w:sz w:val="22"/>
          <w:szCs w:val="20"/>
          <w:lang w:eastAsia="en-US" w:bidi="en-US"/>
        </w:rPr>
        <w:t xml:space="preserve">proposed amended </w:t>
      </w:r>
      <w:r w:rsidR="00EA0668" w:rsidRPr="00394BAC">
        <w:rPr>
          <w:rFonts w:ascii="Arial" w:hAnsi="Arial" w:cs="Arial"/>
          <w:color w:val="auto"/>
          <w:sz w:val="22"/>
          <w:szCs w:val="20"/>
          <w:lang w:eastAsia="en-US" w:bidi="en-US"/>
        </w:rPr>
        <w:t xml:space="preserve">claim </w:t>
      </w:r>
      <w:r w:rsidR="002462C1">
        <w:rPr>
          <w:rFonts w:ascii="Arial" w:hAnsi="Arial" w:cs="Arial"/>
          <w:color w:val="auto"/>
          <w:sz w:val="22"/>
          <w:szCs w:val="20"/>
          <w:lang w:eastAsia="en-US" w:bidi="en-US"/>
        </w:rPr>
        <w:t xml:space="preserve">permission </w:t>
      </w:r>
      <w:r w:rsidR="00C477BA">
        <w:rPr>
          <w:rFonts w:ascii="Arial" w:hAnsi="Arial" w:cs="Arial"/>
          <w:color w:val="auto"/>
          <w:sz w:val="22"/>
          <w:szCs w:val="20"/>
          <w:lang w:eastAsia="en-US" w:bidi="en-US"/>
        </w:rPr>
        <w:t>w</w:t>
      </w:r>
      <w:r w:rsidR="00CB5C05">
        <w:rPr>
          <w:rFonts w:ascii="Arial" w:hAnsi="Arial" w:cs="Arial"/>
          <w:color w:val="auto"/>
          <w:sz w:val="22"/>
          <w:szCs w:val="20"/>
          <w:lang w:eastAsia="en-US" w:bidi="en-US"/>
        </w:rPr>
        <w:t>ould</w:t>
      </w:r>
      <w:r w:rsidR="00C477BA">
        <w:rPr>
          <w:rFonts w:ascii="Arial" w:hAnsi="Arial" w:cs="Arial"/>
          <w:color w:val="auto"/>
          <w:sz w:val="22"/>
          <w:szCs w:val="20"/>
          <w:lang w:eastAsia="en-US" w:bidi="en-US"/>
        </w:rPr>
        <w:t xml:space="preserve"> </w:t>
      </w:r>
      <w:r w:rsidR="002462C1">
        <w:rPr>
          <w:rFonts w:ascii="Arial" w:hAnsi="Arial" w:cs="Arial"/>
          <w:color w:val="auto"/>
          <w:sz w:val="22"/>
          <w:szCs w:val="20"/>
          <w:lang w:eastAsia="en-US" w:bidi="en-US"/>
        </w:rPr>
        <w:t xml:space="preserve">permit </w:t>
      </w:r>
      <w:r w:rsidR="00A15C3A">
        <w:rPr>
          <w:rFonts w:ascii="Arial" w:hAnsi="Arial" w:cs="Arial"/>
          <w:color w:val="auto"/>
          <w:sz w:val="22"/>
          <w:szCs w:val="20"/>
          <w:lang w:eastAsia="en-US" w:bidi="en-US"/>
        </w:rPr>
        <w:t>three</w:t>
      </w:r>
      <w:r w:rsidR="005E531E" w:rsidRPr="00EA0668">
        <w:rPr>
          <w:rFonts w:ascii="Arial" w:hAnsi="Arial" w:cs="Arial"/>
          <w:sz w:val="22"/>
          <w:szCs w:val="22"/>
        </w:rPr>
        <w:t xml:space="preserve"> </w:t>
      </w:r>
      <w:r w:rsidR="00C477BA">
        <w:rPr>
          <w:rFonts w:ascii="Arial" w:hAnsi="Arial" w:cs="Arial"/>
          <w:sz w:val="22"/>
          <w:szCs w:val="22"/>
        </w:rPr>
        <w:t xml:space="preserve">specific </w:t>
      </w:r>
      <w:r w:rsidR="00A77128">
        <w:rPr>
          <w:rFonts w:ascii="Arial" w:hAnsi="Arial" w:cs="Arial"/>
          <w:sz w:val="22"/>
          <w:szCs w:val="22"/>
        </w:rPr>
        <w:t xml:space="preserve">health </w:t>
      </w:r>
      <w:r w:rsidR="005E531E" w:rsidRPr="00EA0668">
        <w:rPr>
          <w:rFonts w:ascii="Arial" w:hAnsi="Arial" w:cs="Arial"/>
          <w:sz w:val="22"/>
          <w:szCs w:val="22"/>
        </w:rPr>
        <w:t>claims</w:t>
      </w:r>
      <w:r w:rsidR="00EA0668">
        <w:rPr>
          <w:rFonts w:ascii="Arial" w:hAnsi="Arial" w:cs="Arial"/>
          <w:sz w:val="22"/>
          <w:szCs w:val="22"/>
        </w:rPr>
        <w:t xml:space="preserve"> for isotonic and hypotonic</w:t>
      </w:r>
      <w:r w:rsidR="0052629D">
        <w:rPr>
          <w:rFonts w:ascii="Arial" w:hAnsi="Arial" w:cs="Arial"/>
          <w:sz w:val="22"/>
          <w:szCs w:val="22"/>
        </w:rPr>
        <w:t xml:space="preserve"> electrolyte drinks.</w:t>
      </w:r>
    </w:p>
    <w:p w14:paraId="39AC0C4F" w14:textId="1361633E" w:rsidR="00EA0668" w:rsidRPr="00822D09" w:rsidRDefault="00B56685" w:rsidP="00E86EB9">
      <w:pPr>
        <w:pStyle w:val="Heading5"/>
      </w:pPr>
      <w:bookmarkStart w:id="185" w:name="_Toc60825005"/>
      <w:r w:rsidRPr="00822D09">
        <w:t>2.3.5.2.2</w:t>
      </w:r>
      <w:r w:rsidRPr="00822D09">
        <w:tab/>
      </w:r>
      <w:r w:rsidR="009C0E2C">
        <w:rPr>
          <w:u w:val="single"/>
        </w:rPr>
        <w:t>Reasons for</w:t>
      </w:r>
      <w:r w:rsidR="006656D4" w:rsidRPr="00822D09">
        <w:rPr>
          <w:u w:val="single"/>
        </w:rPr>
        <w:t xml:space="preserve"> the </w:t>
      </w:r>
      <w:r w:rsidR="004521B7" w:rsidRPr="00822D09">
        <w:rPr>
          <w:u w:val="single"/>
        </w:rPr>
        <w:t>p</w:t>
      </w:r>
      <w:r w:rsidR="004E361E" w:rsidRPr="00822D09">
        <w:rPr>
          <w:u w:val="single"/>
        </w:rPr>
        <w:t>ropose</w:t>
      </w:r>
      <w:r w:rsidR="004521B7" w:rsidRPr="00822D09">
        <w:rPr>
          <w:u w:val="single"/>
        </w:rPr>
        <w:t xml:space="preserve">d permitted </w:t>
      </w:r>
      <w:r w:rsidR="00A77128">
        <w:rPr>
          <w:u w:val="single"/>
        </w:rPr>
        <w:t xml:space="preserve">health </w:t>
      </w:r>
      <w:r w:rsidR="004521B7" w:rsidRPr="00822D09">
        <w:rPr>
          <w:u w:val="single"/>
        </w:rPr>
        <w:t>c</w:t>
      </w:r>
      <w:r w:rsidR="004E361E" w:rsidRPr="00822D09">
        <w:rPr>
          <w:u w:val="single"/>
        </w:rPr>
        <w:t>laim</w:t>
      </w:r>
      <w:r w:rsidRPr="00822D09">
        <w:rPr>
          <w:u w:val="single"/>
        </w:rPr>
        <w:t>s</w:t>
      </w:r>
      <w:bookmarkEnd w:id="185"/>
    </w:p>
    <w:p w14:paraId="53B67A55" w14:textId="1D55F3C8" w:rsidR="009F0455" w:rsidRPr="009F0455" w:rsidRDefault="009F0455" w:rsidP="00DD0E24">
      <w:pPr>
        <w:pStyle w:val="Heading4"/>
      </w:pPr>
      <w:r w:rsidRPr="009F0455">
        <w:t xml:space="preserve">EU health claims for </w:t>
      </w:r>
      <w:r w:rsidR="00CF3C9B">
        <w:t>electrolyte drinks</w:t>
      </w:r>
    </w:p>
    <w:p w14:paraId="5F54A2FF" w14:textId="75F6B4E5" w:rsidR="009F0455" w:rsidRDefault="00A15C3A" w:rsidP="00424BD1">
      <w:pPr>
        <w:pStyle w:val="Default"/>
        <w:spacing w:before="120" w:after="120"/>
        <w:rPr>
          <w:rFonts w:ascii="Arial" w:hAnsi="Arial" w:cs="Arial"/>
          <w:color w:val="auto"/>
          <w:sz w:val="22"/>
          <w:szCs w:val="20"/>
          <w:lang w:eastAsia="en-US" w:bidi="en-US"/>
        </w:rPr>
      </w:pPr>
      <w:r>
        <w:rPr>
          <w:rFonts w:ascii="Arial" w:hAnsi="Arial" w:cs="Arial"/>
          <w:color w:val="auto"/>
          <w:sz w:val="22"/>
          <w:szCs w:val="20"/>
          <w:lang w:eastAsia="en-US" w:bidi="en-US"/>
        </w:rPr>
        <w:t xml:space="preserve">Under </w:t>
      </w:r>
      <w:r w:rsidR="008C0938" w:rsidRPr="0029537F">
        <w:rPr>
          <w:rFonts w:ascii="Arial" w:hAnsi="Arial" w:cs="Arial"/>
          <w:color w:val="auto"/>
          <w:sz w:val="22"/>
          <w:szCs w:val="20"/>
          <w:lang w:eastAsia="en-US" w:bidi="en-US"/>
        </w:rPr>
        <w:t>P293</w:t>
      </w:r>
      <w:r w:rsidR="008C0938">
        <w:rPr>
          <w:rFonts w:ascii="Arial" w:hAnsi="Arial" w:cs="Arial"/>
          <w:color w:val="auto"/>
          <w:sz w:val="22"/>
          <w:szCs w:val="20"/>
          <w:lang w:eastAsia="en-US" w:bidi="en-US"/>
        </w:rPr>
        <w:t xml:space="preserve"> – Nutrition, health and related claims</w:t>
      </w:r>
      <w:r>
        <w:rPr>
          <w:rFonts w:ascii="Arial" w:hAnsi="Arial" w:cs="Arial"/>
          <w:color w:val="auto"/>
          <w:sz w:val="22"/>
          <w:szCs w:val="20"/>
          <w:lang w:eastAsia="en-US" w:bidi="en-US"/>
        </w:rPr>
        <w:t>,</w:t>
      </w:r>
      <w:r w:rsidR="00D42314" w:rsidRPr="00D42314">
        <w:rPr>
          <w:rFonts w:ascii="Arial" w:hAnsi="Arial" w:cs="Arial"/>
          <w:color w:val="auto"/>
          <w:sz w:val="22"/>
          <w:szCs w:val="20"/>
          <w:lang w:eastAsia="en-US" w:bidi="en-US"/>
        </w:rPr>
        <w:t xml:space="preserve"> </w:t>
      </w:r>
      <w:r w:rsidR="008C0938" w:rsidRPr="0029537F">
        <w:rPr>
          <w:rFonts w:ascii="Arial" w:hAnsi="Arial" w:cs="Arial"/>
          <w:color w:val="auto"/>
          <w:sz w:val="22"/>
          <w:szCs w:val="20"/>
          <w:lang w:eastAsia="en-US" w:bidi="en-US"/>
        </w:rPr>
        <w:t>several</w:t>
      </w:r>
      <w:r w:rsidR="008C0938">
        <w:rPr>
          <w:rFonts w:ascii="Arial" w:hAnsi="Arial" w:cs="Arial"/>
          <w:color w:val="auto"/>
          <w:sz w:val="22"/>
          <w:szCs w:val="20"/>
          <w:lang w:eastAsia="en-US" w:bidi="en-US"/>
        </w:rPr>
        <w:t xml:space="preserve"> food health relationships based on</w:t>
      </w:r>
      <w:r w:rsidR="008C0938" w:rsidRPr="0029537F">
        <w:rPr>
          <w:rFonts w:ascii="Arial" w:hAnsi="Arial" w:cs="Arial"/>
          <w:color w:val="auto"/>
          <w:sz w:val="22"/>
          <w:szCs w:val="20"/>
          <w:lang w:eastAsia="en-US" w:bidi="en-US"/>
        </w:rPr>
        <w:t xml:space="preserve"> EU-</w:t>
      </w:r>
      <w:r w:rsidR="00234388" w:rsidRPr="0029537F">
        <w:rPr>
          <w:rFonts w:ascii="Arial" w:hAnsi="Arial" w:cs="Arial"/>
          <w:color w:val="auto"/>
          <w:sz w:val="22"/>
          <w:szCs w:val="20"/>
          <w:lang w:eastAsia="en-US" w:bidi="en-US"/>
        </w:rPr>
        <w:t>a</w:t>
      </w:r>
      <w:r w:rsidR="00234388">
        <w:rPr>
          <w:rFonts w:ascii="Arial" w:hAnsi="Arial" w:cs="Arial"/>
          <w:color w:val="auto"/>
          <w:sz w:val="22"/>
          <w:szCs w:val="20"/>
          <w:lang w:eastAsia="en-US" w:bidi="en-US"/>
        </w:rPr>
        <w:t>uthorised</w:t>
      </w:r>
      <w:r w:rsidR="00234388" w:rsidRPr="0029537F">
        <w:rPr>
          <w:rFonts w:ascii="Arial" w:hAnsi="Arial" w:cs="Arial"/>
          <w:color w:val="auto"/>
          <w:sz w:val="22"/>
          <w:szCs w:val="20"/>
          <w:lang w:eastAsia="en-US" w:bidi="en-US"/>
        </w:rPr>
        <w:t xml:space="preserve"> </w:t>
      </w:r>
      <w:r w:rsidR="008C0938" w:rsidRPr="0029537F">
        <w:rPr>
          <w:rFonts w:ascii="Arial" w:hAnsi="Arial" w:cs="Arial"/>
          <w:color w:val="auto"/>
          <w:sz w:val="22"/>
          <w:szCs w:val="20"/>
          <w:lang w:eastAsia="en-US" w:bidi="en-US"/>
        </w:rPr>
        <w:t>health claims</w:t>
      </w:r>
      <w:r>
        <w:rPr>
          <w:rFonts w:ascii="Arial" w:hAnsi="Arial" w:cs="Arial"/>
          <w:color w:val="auto"/>
          <w:sz w:val="22"/>
          <w:szCs w:val="20"/>
          <w:lang w:eastAsia="en-US" w:bidi="en-US"/>
        </w:rPr>
        <w:t xml:space="preserve"> were incorporated</w:t>
      </w:r>
      <w:r w:rsidR="008C0938" w:rsidRPr="0029537F">
        <w:rPr>
          <w:rFonts w:ascii="Arial" w:hAnsi="Arial" w:cs="Arial"/>
          <w:color w:val="auto"/>
          <w:sz w:val="22"/>
          <w:szCs w:val="20"/>
          <w:lang w:eastAsia="en-US" w:bidi="en-US"/>
        </w:rPr>
        <w:t xml:space="preserve"> into the new Standard 1.2.7, but </w:t>
      </w:r>
      <w:r w:rsidR="008C0938">
        <w:rPr>
          <w:rFonts w:ascii="Arial" w:hAnsi="Arial" w:cs="Arial"/>
          <w:color w:val="auto"/>
          <w:sz w:val="22"/>
          <w:szCs w:val="20"/>
          <w:lang w:eastAsia="en-US" w:bidi="en-US"/>
        </w:rPr>
        <w:t xml:space="preserve">two </w:t>
      </w:r>
      <w:r w:rsidR="00DD0E24">
        <w:rPr>
          <w:rFonts w:ascii="Arial" w:hAnsi="Arial" w:cs="Arial"/>
          <w:color w:val="auto"/>
          <w:sz w:val="22"/>
          <w:szCs w:val="20"/>
          <w:lang w:eastAsia="en-US" w:bidi="en-US"/>
        </w:rPr>
        <w:t xml:space="preserve">such claims </w:t>
      </w:r>
      <w:r w:rsidR="008C0938">
        <w:rPr>
          <w:rFonts w:ascii="Arial" w:hAnsi="Arial" w:cs="Arial"/>
          <w:color w:val="auto"/>
          <w:sz w:val="22"/>
          <w:szCs w:val="20"/>
          <w:lang w:eastAsia="en-US" w:bidi="en-US"/>
        </w:rPr>
        <w:t xml:space="preserve">relating to </w:t>
      </w:r>
      <w:r w:rsidR="0052629D">
        <w:rPr>
          <w:rFonts w:ascii="Arial" w:hAnsi="Arial" w:cs="Arial"/>
          <w:color w:val="auto"/>
          <w:sz w:val="22"/>
          <w:szCs w:val="20"/>
          <w:lang w:eastAsia="en-US" w:bidi="en-US"/>
        </w:rPr>
        <w:t>carbohydrate</w:t>
      </w:r>
      <w:r w:rsidR="00891DC4" w:rsidRPr="0029537F">
        <w:rPr>
          <w:rFonts w:ascii="Arial" w:hAnsi="Arial" w:cs="Arial"/>
          <w:color w:val="auto"/>
          <w:sz w:val="22"/>
          <w:szCs w:val="20"/>
          <w:lang w:eastAsia="en-US" w:bidi="en-US"/>
        </w:rPr>
        <w:t xml:space="preserve"> </w:t>
      </w:r>
      <w:r w:rsidR="008C0938" w:rsidRPr="0029537F">
        <w:rPr>
          <w:rFonts w:ascii="Arial" w:hAnsi="Arial" w:cs="Arial"/>
          <w:color w:val="auto"/>
          <w:sz w:val="22"/>
          <w:szCs w:val="20"/>
          <w:lang w:eastAsia="en-US" w:bidi="en-US"/>
        </w:rPr>
        <w:t xml:space="preserve">electrolyte </w:t>
      </w:r>
      <w:r w:rsidR="008C0938">
        <w:rPr>
          <w:rFonts w:ascii="Arial" w:hAnsi="Arial" w:cs="Arial"/>
          <w:color w:val="auto"/>
          <w:sz w:val="22"/>
          <w:szCs w:val="20"/>
          <w:lang w:eastAsia="en-US" w:bidi="en-US"/>
        </w:rPr>
        <w:t xml:space="preserve">solutions </w:t>
      </w:r>
      <w:r w:rsidR="008C0938" w:rsidRPr="0029537F">
        <w:rPr>
          <w:rFonts w:ascii="Arial" w:hAnsi="Arial" w:cs="Arial"/>
          <w:color w:val="auto"/>
          <w:sz w:val="22"/>
          <w:szCs w:val="20"/>
          <w:lang w:eastAsia="en-US" w:bidi="en-US"/>
        </w:rPr>
        <w:t xml:space="preserve">were deferred </w:t>
      </w:r>
      <w:r w:rsidR="008C0938">
        <w:rPr>
          <w:rFonts w:ascii="Arial" w:hAnsi="Arial" w:cs="Arial"/>
          <w:color w:val="auto"/>
          <w:sz w:val="22"/>
          <w:szCs w:val="20"/>
          <w:lang w:eastAsia="en-US" w:bidi="en-US"/>
        </w:rPr>
        <w:t>for</w:t>
      </w:r>
      <w:r w:rsidR="008C0938" w:rsidRPr="0029537F">
        <w:rPr>
          <w:rFonts w:ascii="Arial" w:hAnsi="Arial" w:cs="Arial"/>
          <w:color w:val="auto"/>
          <w:sz w:val="22"/>
          <w:szCs w:val="20"/>
          <w:lang w:eastAsia="en-US" w:bidi="en-US"/>
        </w:rPr>
        <w:t xml:space="preserve"> further consider</w:t>
      </w:r>
      <w:r w:rsidR="008C0938">
        <w:rPr>
          <w:rFonts w:ascii="Arial" w:hAnsi="Arial" w:cs="Arial"/>
          <w:color w:val="auto"/>
          <w:sz w:val="22"/>
          <w:szCs w:val="20"/>
          <w:lang w:eastAsia="en-US" w:bidi="en-US"/>
        </w:rPr>
        <w:t xml:space="preserve">ation in this </w:t>
      </w:r>
      <w:r w:rsidR="00247605">
        <w:rPr>
          <w:rFonts w:ascii="Arial" w:hAnsi="Arial" w:cs="Arial"/>
          <w:color w:val="auto"/>
          <w:sz w:val="22"/>
          <w:szCs w:val="20"/>
          <w:lang w:eastAsia="en-US" w:bidi="en-US"/>
        </w:rPr>
        <w:t>proposal</w:t>
      </w:r>
      <w:bookmarkStart w:id="186" w:name="_Ref60668458"/>
      <w:r w:rsidR="00DA53E5">
        <w:rPr>
          <w:rStyle w:val="FootnoteReference"/>
          <w:rFonts w:ascii="Arial" w:hAnsi="Arial" w:cs="Arial"/>
          <w:color w:val="auto"/>
          <w:sz w:val="22"/>
          <w:szCs w:val="20"/>
          <w:lang w:eastAsia="en-US" w:bidi="en-US"/>
        </w:rPr>
        <w:footnoteReference w:id="11"/>
      </w:r>
      <w:bookmarkEnd w:id="186"/>
      <w:r w:rsidR="00DA53E5">
        <w:rPr>
          <w:rFonts w:ascii="Arial" w:hAnsi="Arial" w:cs="Arial"/>
          <w:color w:val="auto"/>
          <w:sz w:val="22"/>
          <w:szCs w:val="20"/>
          <w:lang w:eastAsia="en-US" w:bidi="en-US"/>
        </w:rPr>
        <w:t>.</w:t>
      </w:r>
      <w:r w:rsidR="009F0455">
        <w:rPr>
          <w:rFonts w:ascii="Arial" w:hAnsi="Arial" w:cs="Arial"/>
          <w:color w:val="auto"/>
          <w:sz w:val="22"/>
          <w:szCs w:val="20"/>
          <w:lang w:eastAsia="en-US" w:bidi="en-US"/>
        </w:rPr>
        <w:t xml:space="preserve"> </w:t>
      </w:r>
    </w:p>
    <w:p w14:paraId="78652EB8" w14:textId="72FAEC3D" w:rsidR="00DD0E24" w:rsidRDefault="007F44C9" w:rsidP="00424BD1">
      <w:pPr>
        <w:pStyle w:val="Default"/>
        <w:spacing w:before="120" w:after="120"/>
        <w:rPr>
          <w:rFonts w:ascii="Arial" w:hAnsi="Arial" w:cs="Arial"/>
          <w:color w:val="auto"/>
          <w:sz w:val="22"/>
          <w:szCs w:val="20"/>
          <w:lang w:eastAsia="en-US" w:bidi="en-US"/>
        </w:rPr>
      </w:pPr>
      <w:r>
        <w:rPr>
          <w:rFonts w:ascii="Arial" w:hAnsi="Arial" w:cs="Arial"/>
          <w:color w:val="auto"/>
          <w:sz w:val="22"/>
          <w:szCs w:val="20"/>
          <w:lang w:eastAsia="en-US" w:bidi="en-US"/>
        </w:rPr>
        <w:t>The t</w:t>
      </w:r>
      <w:r w:rsidR="009F0455" w:rsidRPr="0029537F">
        <w:rPr>
          <w:rFonts w:ascii="Arial" w:hAnsi="Arial" w:cs="Arial"/>
          <w:color w:val="auto"/>
          <w:sz w:val="22"/>
          <w:szCs w:val="20"/>
          <w:lang w:eastAsia="en-US" w:bidi="en-US"/>
        </w:rPr>
        <w:t xml:space="preserve">wo EU authorised </w:t>
      </w:r>
      <w:r w:rsidR="00A77128">
        <w:rPr>
          <w:rFonts w:ascii="Arial" w:hAnsi="Arial" w:cs="Arial"/>
          <w:color w:val="auto"/>
          <w:sz w:val="22"/>
          <w:szCs w:val="20"/>
          <w:lang w:eastAsia="en-US" w:bidi="en-US"/>
        </w:rPr>
        <w:t xml:space="preserve">health </w:t>
      </w:r>
      <w:r w:rsidR="009F0455" w:rsidRPr="0029537F">
        <w:rPr>
          <w:rFonts w:ascii="Arial" w:hAnsi="Arial" w:cs="Arial"/>
          <w:color w:val="auto"/>
          <w:sz w:val="22"/>
          <w:szCs w:val="20"/>
          <w:lang w:eastAsia="en-US" w:bidi="en-US"/>
        </w:rPr>
        <w:t>claims relat</w:t>
      </w:r>
      <w:r w:rsidR="009F0455">
        <w:rPr>
          <w:rFonts w:ascii="Arial" w:hAnsi="Arial" w:cs="Arial"/>
          <w:color w:val="auto"/>
          <w:sz w:val="22"/>
          <w:szCs w:val="20"/>
          <w:lang w:eastAsia="en-US" w:bidi="en-US"/>
        </w:rPr>
        <w:t>ing</w:t>
      </w:r>
      <w:r w:rsidR="009F0455" w:rsidRPr="0029537F">
        <w:rPr>
          <w:rFonts w:ascii="Arial" w:hAnsi="Arial" w:cs="Arial"/>
          <w:color w:val="auto"/>
          <w:sz w:val="22"/>
          <w:szCs w:val="20"/>
          <w:lang w:eastAsia="en-US" w:bidi="en-US"/>
        </w:rPr>
        <w:t xml:space="preserve"> to</w:t>
      </w:r>
      <w:r w:rsidR="00F30226">
        <w:rPr>
          <w:rFonts w:ascii="Arial" w:hAnsi="Arial" w:cs="Arial"/>
          <w:color w:val="auto"/>
          <w:sz w:val="22"/>
          <w:szCs w:val="20"/>
          <w:lang w:eastAsia="en-US" w:bidi="en-US"/>
        </w:rPr>
        <w:t xml:space="preserve"> electrolyte drinks </w:t>
      </w:r>
      <w:r w:rsidR="009F0455">
        <w:rPr>
          <w:rFonts w:ascii="Arial" w:hAnsi="Arial" w:cs="Arial"/>
          <w:color w:val="auto"/>
          <w:sz w:val="22"/>
          <w:szCs w:val="20"/>
          <w:lang w:eastAsia="en-US" w:bidi="en-US"/>
        </w:rPr>
        <w:t>are</w:t>
      </w:r>
      <w:r w:rsidR="00DD0E24">
        <w:rPr>
          <w:rFonts w:ascii="Arial" w:hAnsi="Arial" w:cs="Arial"/>
          <w:color w:val="auto"/>
          <w:sz w:val="22"/>
          <w:szCs w:val="20"/>
          <w:lang w:eastAsia="en-US" w:bidi="en-US"/>
        </w:rPr>
        <w:t xml:space="preserve"> –</w:t>
      </w:r>
    </w:p>
    <w:p w14:paraId="7F51132D" w14:textId="5C918876" w:rsidR="009F0455" w:rsidRPr="0029537F" w:rsidRDefault="00DD0E24" w:rsidP="00424BD1">
      <w:pPr>
        <w:pStyle w:val="Default"/>
        <w:spacing w:before="120" w:after="120"/>
        <w:rPr>
          <w:rFonts w:ascii="Arial" w:hAnsi="Arial" w:cs="Arial"/>
          <w:color w:val="auto"/>
          <w:sz w:val="22"/>
          <w:szCs w:val="20"/>
          <w:lang w:eastAsia="en-US" w:bidi="en-US"/>
        </w:rPr>
      </w:pPr>
      <w:r>
        <w:rPr>
          <w:rFonts w:ascii="Arial" w:hAnsi="Arial" w:cs="Arial"/>
          <w:color w:val="auto"/>
          <w:sz w:val="22"/>
          <w:szCs w:val="20"/>
          <w:lang w:eastAsia="en-US" w:bidi="en-US"/>
        </w:rPr>
        <w:t>C</w:t>
      </w:r>
      <w:r w:rsidR="00541408" w:rsidRPr="0029537F">
        <w:rPr>
          <w:rFonts w:ascii="Arial" w:hAnsi="Arial" w:cs="Arial"/>
          <w:color w:val="auto"/>
          <w:sz w:val="22"/>
          <w:szCs w:val="20"/>
          <w:lang w:eastAsia="en-US" w:bidi="en-US"/>
        </w:rPr>
        <w:t>arbohydrate electrolyte solutions</w:t>
      </w:r>
      <w:r w:rsidR="009F0455">
        <w:rPr>
          <w:rFonts w:ascii="Arial" w:hAnsi="Arial" w:cs="Arial"/>
          <w:color w:val="auto"/>
          <w:sz w:val="22"/>
          <w:szCs w:val="20"/>
          <w:lang w:eastAsia="en-US" w:bidi="en-US"/>
        </w:rPr>
        <w:t xml:space="preserve">: </w:t>
      </w:r>
    </w:p>
    <w:p w14:paraId="3E505CAC" w14:textId="028BC9BE" w:rsidR="009F0455" w:rsidRPr="0029537F" w:rsidRDefault="009F0455" w:rsidP="00965DE2">
      <w:pPr>
        <w:pStyle w:val="FSBullet1"/>
        <w:spacing w:before="120" w:after="120"/>
        <w:rPr>
          <w:szCs w:val="20"/>
          <w:lang w:bidi="en-US"/>
        </w:rPr>
      </w:pPr>
      <w:r w:rsidRPr="0029537F">
        <w:t>enhance the absorption of water during physical exercise</w:t>
      </w:r>
    </w:p>
    <w:p w14:paraId="5C4839F4" w14:textId="52941A8A" w:rsidR="009F0455" w:rsidRPr="0029537F" w:rsidRDefault="009F0455" w:rsidP="00965DE2">
      <w:pPr>
        <w:pStyle w:val="FSBullet1"/>
        <w:spacing w:before="120" w:after="120"/>
        <w:rPr>
          <w:szCs w:val="20"/>
          <w:lang w:bidi="en-US"/>
        </w:rPr>
      </w:pPr>
      <w:r w:rsidRPr="0029537F">
        <w:t>contribute to the</w:t>
      </w:r>
      <w:r w:rsidRPr="0029537F">
        <w:rPr>
          <w:szCs w:val="20"/>
          <w:lang w:bidi="en-US"/>
        </w:rPr>
        <w:t xml:space="preserve"> maintenance of endurance performance during prolonged endurance exercise</w:t>
      </w:r>
      <w:r w:rsidR="007F44C9">
        <w:rPr>
          <w:szCs w:val="20"/>
          <w:lang w:bidi="en-US"/>
        </w:rPr>
        <w:t>.</w:t>
      </w:r>
      <w:r w:rsidRPr="0029537F">
        <w:rPr>
          <w:szCs w:val="20"/>
          <w:lang w:bidi="en-US"/>
        </w:rPr>
        <w:t xml:space="preserve"> </w:t>
      </w:r>
    </w:p>
    <w:p w14:paraId="5A6F29D0" w14:textId="65352735" w:rsidR="00F0639D" w:rsidRDefault="00F0639D" w:rsidP="00424BD1">
      <w:pPr>
        <w:widowControl/>
        <w:spacing w:before="120" w:after="120"/>
        <w:rPr>
          <w:rFonts w:cs="Arial"/>
          <w:szCs w:val="20"/>
        </w:rPr>
      </w:pPr>
      <w:r>
        <w:rPr>
          <w:rFonts w:cs="Arial"/>
          <w:szCs w:val="20"/>
        </w:rPr>
        <w:t xml:space="preserve">The same </w:t>
      </w:r>
      <w:r w:rsidR="007F44C9">
        <w:rPr>
          <w:rFonts w:cs="Arial"/>
          <w:szCs w:val="20"/>
        </w:rPr>
        <w:t xml:space="preserve">compositional </w:t>
      </w:r>
      <w:r>
        <w:rPr>
          <w:rFonts w:cs="Arial"/>
          <w:szCs w:val="20"/>
        </w:rPr>
        <w:t xml:space="preserve">criteria </w:t>
      </w:r>
      <w:r w:rsidR="00DD0E24">
        <w:rPr>
          <w:rFonts w:cs="Arial"/>
          <w:szCs w:val="20"/>
        </w:rPr>
        <w:t>apply</w:t>
      </w:r>
      <w:r w:rsidR="0062403E">
        <w:rPr>
          <w:rFonts w:cs="Arial"/>
          <w:szCs w:val="20"/>
        </w:rPr>
        <w:t xml:space="preserve"> to </w:t>
      </w:r>
      <w:r w:rsidR="007F44C9">
        <w:rPr>
          <w:rFonts w:cs="Arial"/>
          <w:szCs w:val="20"/>
        </w:rPr>
        <w:t>each</w:t>
      </w:r>
      <w:r>
        <w:rPr>
          <w:rFonts w:cs="Arial"/>
          <w:szCs w:val="20"/>
        </w:rPr>
        <w:t xml:space="preserve"> claim. </w:t>
      </w:r>
      <w:r w:rsidR="00DD0E24">
        <w:rPr>
          <w:rFonts w:cs="Arial"/>
          <w:szCs w:val="20"/>
        </w:rPr>
        <w:t>Since</w:t>
      </w:r>
      <w:r w:rsidR="0062403E">
        <w:rPr>
          <w:rFonts w:cs="Arial"/>
          <w:szCs w:val="20"/>
        </w:rPr>
        <w:t xml:space="preserve"> the</w:t>
      </w:r>
      <w:r w:rsidR="006C7DCE">
        <w:rPr>
          <w:rFonts w:cs="Arial"/>
          <w:szCs w:val="20"/>
        </w:rPr>
        <w:t>se</w:t>
      </w:r>
      <w:r w:rsidR="0062403E">
        <w:rPr>
          <w:rFonts w:cs="Arial"/>
          <w:szCs w:val="20"/>
        </w:rPr>
        <w:t xml:space="preserve"> criteria specify a minimum </w:t>
      </w:r>
      <w:r w:rsidR="0052629D">
        <w:rPr>
          <w:rFonts w:cs="Arial"/>
          <w:szCs w:val="20"/>
        </w:rPr>
        <w:t>carbohydrate</w:t>
      </w:r>
      <w:r w:rsidR="0062403E">
        <w:rPr>
          <w:rFonts w:cs="Arial"/>
          <w:szCs w:val="20"/>
        </w:rPr>
        <w:t xml:space="preserve"> of </w:t>
      </w:r>
      <w:r w:rsidR="00E86EB9">
        <w:rPr>
          <w:rFonts w:cs="Arial"/>
          <w:szCs w:val="20"/>
        </w:rPr>
        <w:t xml:space="preserve">only </w:t>
      </w:r>
      <w:r w:rsidR="0062403E">
        <w:rPr>
          <w:rFonts w:cs="Arial"/>
          <w:szCs w:val="20"/>
        </w:rPr>
        <w:t>20 g/L</w:t>
      </w:r>
      <w:r w:rsidR="007F44C9">
        <w:rPr>
          <w:rFonts w:cs="Arial"/>
          <w:szCs w:val="20"/>
        </w:rPr>
        <w:t xml:space="preserve">, </w:t>
      </w:r>
      <w:r w:rsidRPr="00231513">
        <w:rPr>
          <w:szCs w:val="16"/>
        </w:rPr>
        <w:t>FSANZ</w:t>
      </w:r>
      <w:r>
        <w:rPr>
          <w:szCs w:val="16"/>
        </w:rPr>
        <w:t xml:space="preserve"> </w:t>
      </w:r>
      <w:r w:rsidRPr="00231513">
        <w:rPr>
          <w:szCs w:val="16"/>
        </w:rPr>
        <w:t xml:space="preserve">assumes </w:t>
      </w:r>
      <w:r w:rsidR="00DD0E24">
        <w:rPr>
          <w:szCs w:val="16"/>
        </w:rPr>
        <w:t xml:space="preserve">the second claim </w:t>
      </w:r>
      <w:r w:rsidR="00C312A6">
        <w:rPr>
          <w:szCs w:val="16"/>
        </w:rPr>
        <w:t xml:space="preserve">– </w:t>
      </w:r>
      <w:r w:rsidR="007F44C9" w:rsidRPr="007F44C9">
        <w:rPr>
          <w:rFonts w:cs="Arial"/>
          <w:i/>
          <w:szCs w:val="20"/>
        </w:rPr>
        <w:t>contribution to the maintenance of endurance performance</w:t>
      </w:r>
      <w:r w:rsidR="007F44C9" w:rsidRPr="0029537F">
        <w:rPr>
          <w:rFonts w:cs="Arial"/>
          <w:szCs w:val="20"/>
        </w:rPr>
        <w:t xml:space="preserve"> </w:t>
      </w:r>
      <w:r w:rsidR="00D42314">
        <w:rPr>
          <w:szCs w:val="16"/>
        </w:rPr>
        <w:t>manifests</w:t>
      </w:r>
      <w:r w:rsidRPr="00231513">
        <w:rPr>
          <w:szCs w:val="16"/>
        </w:rPr>
        <w:t xml:space="preserve"> through maintenance of hydration rather than through the supply of </w:t>
      </w:r>
      <w:r w:rsidR="0052629D">
        <w:rPr>
          <w:szCs w:val="16"/>
        </w:rPr>
        <w:t>carbohydrate</w:t>
      </w:r>
      <w:r w:rsidRPr="00231513">
        <w:rPr>
          <w:szCs w:val="16"/>
        </w:rPr>
        <w:t xml:space="preserve"> as a source of energy. </w:t>
      </w:r>
      <w:r>
        <w:rPr>
          <w:rFonts w:cs="Arial"/>
          <w:szCs w:val="20"/>
        </w:rPr>
        <w:t xml:space="preserve">The scientific rationale and the conditions for these two </w:t>
      </w:r>
      <w:r w:rsidR="00A77128">
        <w:rPr>
          <w:rFonts w:cs="Arial"/>
          <w:szCs w:val="20"/>
        </w:rPr>
        <w:t xml:space="preserve">health </w:t>
      </w:r>
      <w:r>
        <w:rPr>
          <w:rFonts w:cs="Arial"/>
          <w:szCs w:val="20"/>
        </w:rPr>
        <w:t>claims are given in Appendix</w:t>
      </w:r>
      <w:r w:rsidR="00D42314">
        <w:rPr>
          <w:rFonts w:cs="Arial"/>
          <w:szCs w:val="20"/>
        </w:rPr>
        <w:t xml:space="preserve"> </w:t>
      </w:r>
      <w:r w:rsidR="000F4DDB">
        <w:rPr>
          <w:rFonts w:cs="Arial"/>
          <w:szCs w:val="20"/>
        </w:rPr>
        <w:t xml:space="preserve">1 </w:t>
      </w:r>
      <w:r>
        <w:rPr>
          <w:rFonts w:cs="Arial"/>
          <w:szCs w:val="20"/>
        </w:rPr>
        <w:t xml:space="preserve">to this Consultation </w:t>
      </w:r>
      <w:r w:rsidR="006C7DCE">
        <w:rPr>
          <w:rFonts w:cs="Arial"/>
          <w:szCs w:val="20"/>
        </w:rPr>
        <w:t>paper</w:t>
      </w:r>
      <w:r>
        <w:rPr>
          <w:rFonts w:cs="Arial"/>
          <w:szCs w:val="20"/>
        </w:rPr>
        <w:t xml:space="preserve">.  </w:t>
      </w:r>
    </w:p>
    <w:p w14:paraId="27934D6F" w14:textId="20D09EB1" w:rsidR="00EA0668" w:rsidRPr="00EA0668" w:rsidRDefault="005E08EF" w:rsidP="006656D4">
      <w:pPr>
        <w:pStyle w:val="Heading4"/>
      </w:pPr>
      <w:r>
        <w:t xml:space="preserve">FSANZ and EFSA evidence assessments as basis of claim </w:t>
      </w:r>
      <w:r w:rsidR="004E361E">
        <w:t>effects</w:t>
      </w:r>
      <w:r>
        <w:t xml:space="preserve"> </w:t>
      </w:r>
    </w:p>
    <w:p w14:paraId="354FFE96" w14:textId="527E7A26" w:rsidR="00DE16D4" w:rsidRDefault="0080346B" w:rsidP="00424BD1">
      <w:pPr>
        <w:pStyle w:val="Default"/>
        <w:spacing w:before="120" w:after="120"/>
        <w:rPr>
          <w:rFonts w:ascii="Arial" w:hAnsi="Arial" w:cs="Arial"/>
          <w:color w:val="auto"/>
          <w:sz w:val="22"/>
          <w:szCs w:val="22"/>
        </w:rPr>
      </w:pPr>
      <w:r>
        <w:rPr>
          <w:rFonts w:ascii="Arial" w:hAnsi="Arial" w:cs="Arial"/>
          <w:color w:val="auto"/>
          <w:sz w:val="22"/>
          <w:szCs w:val="22"/>
        </w:rPr>
        <w:t xml:space="preserve">Both </w:t>
      </w:r>
      <w:r w:rsidR="00EA0668">
        <w:rPr>
          <w:rFonts w:ascii="Arial" w:hAnsi="Arial" w:cs="Arial"/>
          <w:color w:val="auto"/>
          <w:sz w:val="22"/>
          <w:szCs w:val="22"/>
        </w:rPr>
        <w:t>sources of</w:t>
      </w:r>
      <w:r w:rsidR="006A60D1" w:rsidRPr="006A60D1">
        <w:rPr>
          <w:rFonts w:ascii="Arial" w:hAnsi="Arial" w:cs="Arial"/>
          <w:color w:val="auto"/>
          <w:sz w:val="22"/>
          <w:szCs w:val="22"/>
        </w:rPr>
        <w:t xml:space="preserve"> evidence review</w:t>
      </w:r>
      <w:r w:rsidR="00DD0E24">
        <w:rPr>
          <w:rFonts w:ascii="Arial" w:hAnsi="Arial" w:cs="Arial"/>
          <w:color w:val="auto"/>
          <w:sz w:val="22"/>
          <w:szCs w:val="22"/>
        </w:rPr>
        <w:t>ed</w:t>
      </w:r>
      <w:r>
        <w:rPr>
          <w:rFonts w:ascii="Arial" w:hAnsi="Arial" w:cs="Arial"/>
          <w:color w:val="auto"/>
          <w:sz w:val="22"/>
          <w:szCs w:val="22"/>
        </w:rPr>
        <w:t xml:space="preserve"> by FSANZ</w:t>
      </w:r>
      <w:r w:rsidR="006A60D1" w:rsidRPr="006A60D1">
        <w:rPr>
          <w:rFonts w:ascii="Arial" w:hAnsi="Arial" w:cs="Arial"/>
          <w:color w:val="auto"/>
          <w:sz w:val="22"/>
          <w:szCs w:val="22"/>
        </w:rPr>
        <w:t xml:space="preserve"> </w:t>
      </w:r>
      <w:r>
        <w:rPr>
          <w:rFonts w:ascii="Arial" w:hAnsi="Arial" w:cs="Arial"/>
          <w:color w:val="auto"/>
          <w:sz w:val="22"/>
          <w:szCs w:val="22"/>
        </w:rPr>
        <w:t xml:space="preserve">and by EFSA were </w:t>
      </w:r>
      <w:r w:rsidR="00EA0668">
        <w:rPr>
          <w:rFonts w:ascii="Arial" w:hAnsi="Arial" w:cs="Arial"/>
          <w:color w:val="auto"/>
          <w:sz w:val="22"/>
          <w:szCs w:val="22"/>
        </w:rPr>
        <w:t xml:space="preserve">considered </w:t>
      </w:r>
      <w:r w:rsidR="000626B8">
        <w:rPr>
          <w:rFonts w:ascii="Arial" w:hAnsi="Arial" w:cs="Arial"/>
          <w:color w:val="auto"/>
          <w:sz w:val="22"/>
          <w:szCs w:val="22"/>
        </w:rPr>
        <w:t xml:space="preserve">by FSANZ before proposing amendment of </w:t>
      </w:r>
      <w:r w:rsidR="00EA0668">
        <w:rPr>
          <w:rFonts w:ascii="Arial" w:hAnsi="Arial" w:cs="Arial"/>
          <w:color w:val="auto"/>
          <w:sz w:val="22"/>
          <w:szCs w:val="22"/>
        </w:rPr>
        <w:t>the</w:t>
      </w:r>
      <w:r>
        <w:rPr>
          <w:rFonts w:ascii="Arial" w:hAnsi="Arial" w:cs="Arial"/>
          <w:color w:val="auto"/>
          <w:sz w:val="22"/>
          <w:szCs w:val="22"/>
        </w:rPr>
        <w:t xml:space="preserve"> </w:t>
      </w:r>
      <w:r w:rsidR="00A77128">
        <w:rPr>
          <w:rFonts w:ascii="Arial" w:hAnsi="Arial" w:cs="Arial"/>
          <w:color w:val="auto"/>
          <w:sz w:val="22"/>
          <w:szCs w:val="22"/>
        </w:rPr>
        <w:t xml:space="preserve">current claim permission </w:t>
      </w:r>
      <w:r w:rsidR="006C7DCE">
        <w:rPr>
          <w:rFonts w:ascii="Arial" w:hAnsi="Arial" w:cs="Arial"/>
          <w:color w:val="auto"/>
          <w:sz w:val="22"/>
          <w:szCs w:val="22"/>
        </w:rPr>
        <w:t>because they</w:t>
      </w:r>
      <w:r w:rsidR="00DE16D4">
        <w:rPr>
          <w:rFonts w:ascii="Arial" w:hAnsi="Arial" w:cs="Arial"/>
          <w:color w:val="auto"/>
          <w:sz w:val="22"/>
          <w:szCs w:val="22"/>
        </w:rPr>
        <w:t xml:space="preserve"> </w:t>
      </w:r>
      <w:r w:rsidR="00D42314">
        <w:rPr>
          <w:rFonts w:ascii="Arial" w:hAnsi="Arial" w:cs="Arial"/>
          <w:color w:val="auto"/>
          <w:sz w:val="22"/>
          <w:szCs w:val="22"/>
        </w:rPr>
        <w:t xml:space="preserve">both </w:t>
      </w:r>
      <w:r w:rsidR="00DE16D4">
        <w:rPr>
          <w:rFonts w:ascii="Arial" w:hAnsi="Arial" w:cs="Arial"/>
          <w:color w:val="auto"/>
          <w:sz w:val="22"/>
          <w:szCs w:val="22"/>
        </w:rPr>
        <w:t>reviewed the relationships between consumption of</w:t>
      </w:r>
      <w:r w:rsidR="00F30226">
        <w:rPr>
          <w:rFonts w:ascii="Arial" w:hAnsi="Arial" w:cs="Arial"/>
          <w:color w:val="auto"/>
          <w:sz w:val="22"/>
          <w:szCs w:val="22"/>
        </w:rPr>
        <w:t xml:space="preserve"> electrolyte drinks </w:t>
      </w:r>
      <w:r w:rsidR="00DE16D4">
        <w:rPr>
          <w:rFonts w:ascii="Arial" w:hAnsi="Arial" w:cs="Arial"/>
          <w:color w:val="auto"/>
          <w:sz w:val="22"/>
          <w:szCs w:val="22"/>
        </w:rPr>
        <w:t>and hydration/water absorption, and</w:t>
      </w:r>
      <w:r w:rsidR="00F30226">
        <w:rPr>
          <w:rFonts w:ascii="Arial" w:hAnsi="Arial" w:cs="Arial"/>
          <w:color w:val="auto"/>
          <w:sz w:val="22"/>
          <w:szCs w:val="22"/>
        </w:rPr>
        <w:t xml:space="preserve"> electrolyte drinks </w:t>
      </w:r>
      <w:r w:rsidR="00DE16D4">
        <w:rPr>
          <w:rFonts w:ascii="Arial" w:hAnsi="Arial" w:cs="Arial"/>
          <w:color w:val="auto"/>
          <w:sz w:val="22"/>
          <w:szCs w:val="22"/>
        </w:rPr>
        <w:t>and physical performance.</w:t>
      </w:r>
    </w:p>
    <w:p w14:paraId="5BB447FA" w14:textId="242FF008" w:rsidR="006A60D1" w:rsidRDefault="00DD0E24" w:rsidP="00424BD1">
      <w:pPr>
        <w:pStyle w:val="Default"/>
        <w:spacing w:before="120" w:after="120"/>
        <w:rPr>
          <w:rFonts w:ascii="Arial" w:hAnsi="Arial" w:cs="Arial"/>
          <w:sz w:val="22"/>
          <w:szCs w:val="22"/>
        </w:rPr>
      </w:pPr>
      <w:r>
        <w:rPr>
          <w:rFonts w:ascii="Arial" w:hAnsi="Arial" w:cs="Arial"/>
          <w:color w:val="auto"/>
          <w:sz w:val="22"/>
          <w:szCs w:val="22"/>
        </w:rPr>
        <w:t>The risk assessment</w:t>
      </w:r>
      <w:r w:rsidR="00E86EB9">
        <w:rPr>
          <w:rFonts w:ascii="Arial" w:hAnsi="Arial" w:cs="Arial"/>
          <w:color w:val="auto"/>
          <w:sz w:val="22"/>
          <w:szCs w:val="22"/>
        </w:rPr>
        <w:t xml:space="preserve"> undertaken by FSANZ, outlined</w:t>
      </w:r>
      <w:r>
        <w:rPr>
          <w:rFonts w:ascii="Arial" w:hAnsi="Arial" w:cs="Arial"/>
          <w:color w:val="auto"/>
          <w:sz w:val="22"/>
          <w:szCs w:val="22"/>
        </w:rPr>
        <w:t xml:space="preserve"> </w:t>
      </w:r>
      <w:r w:rsidR="0080346B">
        <w:rPr>
          <w:rFonts w:ascii="Arial" w:hAnsi="Arial" w:cs="Arial"/>
          <w:color w:val="auto"/>
          <w:sz w:val="22"/>
          <w:szCs w:val="22"/>
        </w:rPr>
        <w:t xml:space="preserve">in </w:t>
      </w:r>
      <w:r w:rsidR="00F1676A">
        <w:rPr>
          <w:rFonts w:ascii="Arial" w:hAnsi="Arial" w:cs="Arial"/>
          <w:color w:val="auto"/>
          <w:sz w:val="22"/>
          <w:szCs w:val="22"/>
        </w:rPr>
        <w:t xml:space="preserve">Section </w:t>
      </w:r>
      <w:r w:rsidR="0080346B">
        <w:rPr>
          <w:rFonts w:ascii="Arial" w:hAnsi="Arial" w:cs="Arial"/>
          <w:color w:val="auto"/>
          <w:sz w:val="22"/>
          <w:szCs w:val="22"/>
        </w:rPr>
        <w:t xml:space="preserve">2.2 </w:t>
      </w:r>
      <w:r w:rsidR="00F1676A" w:rsidRPr="00F1676A">
        <w:rPr>
          <w:rFonts w:ascii="Arial" w:hAnsi="Arial" w:cs="Arial"/>
          <w:color w:val="auto"/>
          <w:sz w:val="22"/>
          <w:szCs w:val="22"/>
        </w:rPr>
        <w:t xml:space="preserve">of this </w:t>
      </w:r>
      <w:r w:rsidR="00417F12">
        <w:rPr>
          <w:rFonts w:ascii="Arial" w:hAnsi="Arial" w:cs="Arial"/>
          <w:color w:val="auto"/>
          <w:sz w:val="22"/>
          <w:szCs w:val="22"/>
        </w:rPr>
        <w:t>C</w:t>
      </w:r>
      <w:r w:rsidR="00F1676A" w:rsidRPr="00F1676A">
        <w:rPr>
          <w:rFonts w:ascii="Arial" w:hAnsi="Arial" w:cs="Arial"/>
          <w:color w:val="auto"/>
          <w:sz w:val="22"/>
          <w:szCs w:val="22"/>
        </w:rPr>
        <w:t xml:space="preserve">onsultation paper </w:t>
      </w:r>
      <w:r w:rsidR="0080346B">
        <w:rPr>
          <w:rFonts w:ascii="Arial" w:hAnsi="Arial" w:cs="Arial"/>
          <w:color w:val="auto"/>
          <w:sz w:val="22"/>
          <w:szCs w:val="22"/>
        </w:rPr>
        <w:t xml:space="preserve">and </w:t>
      </w:r>
      <w:r>
        <w:rPr>
          <w:rFonts w:ascii="Arial" w:hAnsi="Arial" w:cs="Arial"/>
          <w:color w:val="auto"/>
          <w:sz w:val="22"/>
          <w:szCs w:val="22"/>
        </w:rPr>
        <w:t xml:space="preserve">in </w:t>
      </w:r>
      <w:r w:rsidR="006A60D1" w:rsidRPr="006A60D1">
        <w:rPr>
          <w:rFonts w:ascii="Arial" w:hAnsi="Arial" w:cs="Arial"/>
          <w:color w:val="auto"/>
          <w:sz w:val="22"/>
          <w:szCs w:val="22"/>
        </w:rPr>
        <w:t>SD1</w:t>
      </w:r>
      <w:r w:rsidR="00E86EB9">
        <w:rPr>
          <w:rFonts w:ascii="Arial" w:hAnsi="Arial" w:cs="Arial"/>
          <w:color w:val="auto"/>
          <w:sz w:val="22"/>
          <w:szCs w:val="22"/>
        </w:rPr>
        <w:t>,</w:t>
      </w:r>
      <w:r w:rsidR="006A60D1" w:rsidRPr="006A60D1">
        <w:rPr>
          <w:rFonts w:ascii="Arial" w:hAnsi="Arial" w:cs="Arial"/>
          <w:color w:val="auto"/>
          <w:sz w:val="22"/>
          <w:szCs w:val="22"/>
        </w:rPr>
        <w:t xml:space="preserve"> </w:t>
      </w:r>
      <w:r>
        <w:rPr>
          <w:rFonts w:ascii="Arial" w:hAnsi="Arial" w:cs="Arial"/>
          <w:color w:val="auto"/>
          <w:sz w:val="22"/>
          <w:szCs w:val="22"/>
        </w:rPr>
        <w:t>reviewed</w:t>
      </w:r>
      <w:r w:rsidR="006A60D1" w:rsidRPr="006A60D1">
        <w:rPr>
          <w:rFonts w:ascii="Arial" w:hAnsi="Arial" w:cs="Arial"/>
          <w:color w:val="auto"/>
          <w:sz w:val="22"/>
          <w:szCs w:val="22"/>
        </w:rPr>
        <w:t xml:space="preserve"> the comparative difference between</w:t>
      </w:r>
      <w:r w:rsidR="00F30226">
        <w:rPr>
          <w:rFonts w:ascii="Arial" w:hAnsi="Arial" w:cs="Arial"/>
          <w:color w:val="auto"/>
          <w:sz w:val="22"/>
          <w:szCs w:val="22"/>
        </w:rPr>
        <w:t xml:space="preserve"> electrolyte drinks </w:t>
      </w:r>
      <w:r w:rsidR="0061734B">
        <w:rPr>
          <w:rFonts w:ascii="Arial" w:hAnsi="Arial" w:cs="Arial"/>
          <w:color w:val="auto"/>
          <w:sz w:val="22"/>
          <w:szCs w:val="22"/>
        </w:rPr>
        <w:t xml:space="preserve">above and below 5% </w:t>
      </w:r>
      <w:r w:rsidR="0052629D">
        <w:rPr>
          <w:rFonts w:ascii="Arial" w:hAnsi="Arial" w:cs="Arial"/>
          <w:color w:val="auto"/>
          <w:sz w:val="22"/>
          <w:szCs w:val="22"/>
        </w:rPr>
        <w:t>carbohydrate</w:t>
      </w:r>
      <w:r w:rsidR="006A60D1" w:rsidRPr="006A60D1">
        <w:rPr>
          <w:rFonts w:ascii="Arial" w:hAnsi="Arial" w:cs="Arial"/>
          <w:color w:val="auto"/>
          <w:sz w:val="22"/>
          <w:szCs w:val="22"/>
        </w:rPr>
        <w:t xml:space="preserve"> with respect to hydration and performance</w:t>
      </w:r>
      <w:r w:rsidR="0080346B">
        <w:rPr>
          <w:rFonts w:ascii="Arial" w:hAnsi="Arial" w:cs="Arial"/>
          <w:color w:val="auto"/>
          <w:sz w:val="22"/>
          <w:szCs w:val="22"/>
        </w:rPr>
        <w:t>,</w:t>
      </w:r>
      <w:r w:rsidR="006A60D1" w:rsidRPr="006A60D1">
        <w:rPr>
          <w:rFonts w:ascii="Arial" w:hAnsi="Arial" w:cs="Arial"/>
          <w:color w:val="auto"/>
          <w:sz w:val="22"/>
          <w:szCs w:val="22"/>
        </w:rPr>
        <w:t xml:space="preserve"> whereas EFSA reviewed evidence for these two health effects from consumption of</w:t>
      </w:r>
      <w:r w:rsidR="00F30226">
        <w:rPr>
          <w:rFonts w:ascii="Arial" w:hAnsi="Arial" w:cs="Arial"/>
          <w:color w:val="auto"/>
          <w:sz w:val="22"/>
          <w:szCs w:val="22"/>
        </w:rPr>
        <w:t xml:space="preserve"> electrolyte drinks </w:t>
      </w:r>
      <w:r w:rsidR="00A3009B">
        <w:rPr>
          <w:rFonts w:ascii="Arial" w:hAnsi="Arial" w:cs="Arial"/>
          <w:color w:val="auto"/>
          <w:sz w:val="22"/>
          <w:szCs w:val="22"/>
        </w:rPr>
        <w:t xml:space="preserve">containing </w:t>
      </w:r>
      <w:r w:rsidR="0061734B">
        <w:rPr>
          <w:rFonts w:ascii="Arial" w:hAnsi="Arial" w:cs="Arial"/>
          <w:color w:val="auto"/>
          <w:sz w:val="22"/>
          <w:szCs w:val="22"/>
        </w:rPr>
        <w:t>~1.9</w:t>
      </w:r>
      <w:r w:rsidR="009B04F1">
        <w:rPr>
          <w:rFonts w:ascii="Arial" w:hAnsi="Arial" w:cs="Arial"/>
          <w:color w:val="auto"/>
          <w:sz w:val="22"/>
          <w:szCs w:val="22"/>
        </w:rPr>
        <w:noBreakHyphen/>
      </w:r>
      <w:r w:rsidR="0061734B">
        <w:rPr>
          <w:rFonts w:ascii="Arial" w:hAnsi="Arial" w:cs="Arial"/>
          <w:color w:val="auto"/>
          <w:sz w:val="22"/>
          <w:szCs w:val="22"/>
        </w:rPr>
        <w:t xml:space="preserve">8.4% </w:t>
      </w:r>
      <w:r w:rsidR="0052629D">
        <w:rPr>
          <w:rFonts w:ascii="Arial" w:hAnsi="Arial" w:cs="Arial"/>
          <w:color w:val="auto"/>
          <w:sz w:val="22"/>
          <w:szCs w:val="22"/>
        </w:rPr>
        <w:t>carbohydrate</w:t>
      </w:r>
      <w:r w:rsidR="006A60D1" w:rsidRPr="006A60D1">
        <w:rPr>
          <w:rFonts w:ascii="Arial" w:hAnsi="Arial" w:cs="Arial"/>
          <w:color w:val="auto"/>
          <w:sz w:val="22"/>
          <w:szCs w:val="22"/>
        </w:rPr>
        <w:t xml:space="preserve">. Both </w:t>
      </w:r>
      <w:r w:rsidR="00B56685">
        <w:rPr>
          <w:rFonts w:ascii="Arial" w:hAnsi="Arial" w:cs="Arial"/>
          <w:color w:val="auto"/>
          <w:sz w:val="22"/>
          <w:szCs w:val="22"/>
        </w:rPr>
        <w:t>FSANZ</w:t>
      </w:r>
      <w:r w:rsidR="006A60D1" w:rsidRPr="006A60D1">
        <w:rPr>
          <w:rFonts w:ascii="Arial" w:hAnsi="Arial" w:cs="Arial"/>
          <w:color w:val="auto"/>
          <w:sz w:val="22"/>
          <w:szCs w:val="22"/>
        </w:rPr>
        <w:t xml:space="preserve"> and EFSA reviewed the evidence under conditions of strenuous exercise for 60 minutes or more, but neither undertook a </w:t>
      </w:r>
      <w:r w:rsidR="00136886">
        <w:rPr>
          <w:rFonts w:ascii="Arial" w:hAnsi="Arial" w:cs="Arial"/>
          <w:color w:val="auto"/>
          <w:sz w:val="22"/>
          <w:szCs w:val="22"/>
        </w:rPr>
        <w:t xml:space="preserve">full </w:t>
      </w:r>
      <w:r w:rsidR="006A60D1" w:rsidRPr="006A60D1">
        <w:rPr>
          <w:rFonts w:ascii="Arial" w:hAnsi="Arial" w:cs="Arial"/>
          <w:color w:val="auto"/>
          <w:sz w:val="22"/>
          <w:szCs w:val="22"/>
        </w:rPr>
        <w:t xml:space="preserve">systematic review. </w:t>
      </w:r>
      <w:r w:rsidR="0080346B">
        <w:rPr>
          <w:rFonts w:ascii="Arial" w:hAnsi="Arial" w:cs="Arial"/>
          <w:color w:val="auto"/>
          <w:sz w:val="22"/>
          <w:szCs w:val="22"/>
        </w:rPr>
        <w:t xml:space="preserve">Although both reviews did not have precisely the same </w:t>
      </w:r>
      <w:r w:rsidR="00DA53E5">
        <w:rPr>
          <w:rFonts w:ascii="Arial" w:hAnsi="Arial" w:cs="Arial"/>
          <w:color w:val="auto"/>
          <w:sz w:val="22"/>
          <w:szCs w:val="22"/>
        </w:rPr>
        <w:t>aim</w:t>
      </w:r>
      <w:r w:rsidR="0080346B">
        <w:rPr>
          <w:rFonts w:ascii="Arial" w:hAnsi="Arial" w:cs="Arial"/>
          <w:color w:val="auto"/>
          <w:sz w:val="22"/>
          <w:szCs w:val="22"/>
        </w:rPr>
        <w:t xml:space="preserve">, </w:t>
      </w:r>
      <w:r w:rsidR="006A60D1" w:rsidRPr="006A60D1">
        <w:rPr>
          <w:rFonts w:ascii="Arial" w:hAnsi="Arial" w:cs="Arial"/>
          <w:color w:val="auto"/>
          <w:sz w:val="22"/>
          <w:szCs w:val="22"/>
        </w:rPr>
        <w:t xml:space="preserve">this </w:t>
      </w:r>
      <w:r w:rsidR="006C7DCE" w:rsidRPr="006A60D1">
        <w:rPr>
          <w:rFonts w:ascii="Arial" w:hAnsi="Arial" w:cs="Arial"/>
          <w:color w:val="auto"/>
          <w:sz w:val="22"/>
          <w:szCs w:val="22"/>
        </w:rPr>
        <w:t xml:space="preserve">proposal </w:t>
      </w:r>
      <w:r w:rsidR="006A60D1" w:rsidRPr="006A60D1">
        <w:rPr>
          <w:rFonts w:ascii="Arial" w:hAnsi="Arial" w:cs="Arial"/>
          <w:color w:val="auto"/>
          <w:sz w:val="22"/>
          <w:szCs w:val="22"/>
        </w:rPr>
        <w:t xml:space="preserve">brings together the findings of </w:t>
      </w:r>
      <w:r w:rsidR="0080612E">
        <w:rPr>
          <w:rFonts w:ascii="Arial" w:hAnsi="Arial" w:cs="Arial"/>
          <w:color w:val="auto"/>
          <w:sz w:val="22"/>
          <w:szCs w:val="22"/>
        </w:rPr>
        <w:t xml:space="preserve">the assessment undertaken by FSANZ (see </w:t>
      </w:r>
      <w:r w:rsidR="006A60D1" w:rsidRPr="006A60D1">
        <w:rPr>
          <w:rFonts w:ascii="Arial" w:hAnsi="Arial" w:cs="Arial"/>
          <w:color w:val="auto"/>
          <w:sz w:val="22"/>
          <w:szCs w:val="22"/>
        </w:rPr>
        <w:t>SD1</w:t>
      </w:r>
      <w:r w:rsidR="0080612E">
        <w:rPr>
          <w:rFonts w:ascii="Arial" w:hAnsi="Arial" w:cs="Arial"/>
          <w:color w:val="auto"/>
          <w:sz w:val="22"/>
          <w:szCs w:val="22"/>
        </w:rPr>
        <w:t>)</w:t>
      </w:r>
      <w:r w:rsidR="006A60D1" w:rsidRPr="006A60D1">
        <w:rPr>
          <w:rFonts w:ascii="Arial" w:hAnsi="Arial" w:cs="Arial"/>
          <w:color w:val="auto"/>
          <w:sz w:val="22"/>
          <w:szCs w:val="22"/>
        </w:rPr>
        <w:t xml:space="preserve"> and the EU health claim reviews as the evidence base </w:t>
      </w:r>
      <w:r w:rsidR="000626B8">
        <w:rPr>
          <w:rFonts w:ascii="Arial" w:hAnsi="Arial" w:cs="Arial"/>
          <w:color w:val="auto"/>
          <w:sz w:val="22"/>
          <w:szCs w:val="22"/>
        </w:rPr>
        <w:t>for amending</w:t>
      </w:r>
      <w:r w:rsidR="00D06EE2" w:rsidRPr="006A60D1">
        <w:rPr>
          <w:rFonts w:ascii="Arial" w:hAnsi="Arial" w:cs="Arial"/>
          <w:color w:val="auto"/>
          <w:sz w:val="22"/>
          <w:szCs w:val="22"/>
        </w:rPr>
        <w:t xml:space="preserve"> </w:t>
      </w:r>
      <w:r w:rsidR="006A60D1" w:rsidRPr="006A60D1">
        <w:rPr>
          <w:rFonts w:ascii="Arial" w:hAnsi="Arial" w:cs="Arial"/>
          <w:color w:val="auto"/>
          <w:sz w:val="22"/>
          <w:szCs w:val="22"/>
        </w:rPr>
        <w:t>the current claim</w:t>
      </w:r>
      <w:r w:rsidR="007F44C9">
        <w:rPr>
          <w:rFonts w:ascii="Arial" w:hAnsi="Arial" w:cs="Arial"/>
          <w:color w:val="auto"/>
          <w:sz w:val="22"/>
          <w:szCs w:val="22"/>
        </w:rPr>
        <w:t xml:space="preserve"> </w:t>
      </w:r>
      <w:r w:rsidR="00A77128">
        <w:rPr>
          <w:rFonts w:ascii="Arial" w:hAnsi="Arial" w:cs="Arial"/>
          <w:color w:val="auto"/>
          <w:sz w:val="22"/>
          <w:szCs w:val="22"/>
        </w:rPr>
        <w:t xml:space="preserve">permission </w:t>
      </w:r>
      <w:r w:rsidR="007F44C9">
        <w:rPr>
          <w:rFonts w:ascii="Arial" w:hAnsi="Arial" w:cs="Arial"/>
          <w:color w:val="auto"/>
          <w:sz w:val="22"/>
          <w:szCs w:val="22"/>
        </w:rPr>
        <w:t>for</w:t>
      </w:r>
      <w:r w:rsidR="0052629D">
        <w:rPr>
          <w:rFonts w:ascii="Arial" w:hAnsi="Arial" w:cs="Arial"/>
          <w:color w:val="auto"/>
          <w:sz w:val="22"/>
          <w:szCs w:val="22"/>
        </w:rPr>
        <w:t xml:space="preserve"> electrolyte drinks.</w:t>
      </w:r>
      <w:r w:rsidR="006A60D1" w:rsidRPr="006A60D1">
        <w:rPr>
          <w:rFonts w:ascii="Arial" w:hAnsi="Arial" w:cs="Arial"/>
          <w:sz w:val="22"/>
          <w:szCs w:val="22"/>
        </w:rPr>
        <w:t xml:space="preserve"> </w:t>
      </w:r>
    </w:p>
    <w:p w14:paraId="02E18D01" w14:textId="248532DA" w:rsidR="00E912F4" w:rsidRDefault="006A60D1" w:rsidP="00424BD1">
      <w:pPr>
        <w:pStyle w:val="Default"/>
        <w:spacing w:before="120" w:after="120"/>
        <w:rPr>
          <w:rFonts w:ascii="Arial" w:hAnsi="Arial" w:cs="Arial"/>
          <w:color w:val="auto"/>
          <w:sz w:val="22"/>
          <w:szCs w:val="22"/>
        </w:rPr>
      </w:pPr>
      <w:r w:rsidRPr="00B027A9">
        <w:rPr>
          <w:rFonts w:ascii="Arial" w:hAnsi="Arial" w:cs="Arial"/>
          <w:color w:val="auto"/>
          <w:sz w:val="22"/>
          <w:szCs w:val="22"/>
        </w:rPr>
        <w:t>A</w:t>
      </w:r>
      <w:r w:rsidR="00A3009B">
        <w:rPr>
          <w:rFonts w:ascii="Arial" w:hAnsi="Arial" w:cs="Arial"/>
          <w:color w:val="auto"/>
          <w:sz w:val="22"/>
          <w:szCs w:val="22"/>
        </w:rPr>
        <w:t xml:space="preserve">s mentioned above, </w:t>
      </w:r>
      <w:r w:rsidR="00E86EB9">
        <w:rPr>
          <w:rFonts w:ascii="Arial" w:hAnsi="Arial" w:cs="Arial"/>
          <w:color w:val="auto"/>
          <w:sz w:val="22"/>
          <w:szCs w:val="22"/>
        </w:rPr>
        <w:t>the</w:t>
      </w:r>
      <w:r w:rsidR="00A3009B">
        <w:rPr>
          <w:rFonts w:ascii="Arial" w:hAnsi="Arial" w:cs="Arial"/>
          <w:color w:val="auto"/>
          <w:sz w:val="22"/>
          <w:szCs w:val="22"/>
        </w:rPr>
        <w:t xml:space="preserve"> </w:t>
      </w:r>
      <w:r w:rsidRPr="00B027A9">
        <w:rPr>
          <w:rFonts w:ascii="Arial" w:hAnsi="Arial" w:cs="Arial"/>
          <w:color w:val="auto"/>
          <w:sz w:val="22"/>
          <w:szCs w:val="22"/>
        </w:rPr>
        <w:t xml:space="preserve">proposed reduction in minimum </w:t>
      </w:r>
      <w:r w:rsidR="0052629D">
        <w:rPr>
          <w:rFonts w:ascii="Arial" w:hAnsi="Arial" w:cs="Arial"/>
          <w:color w:val="auto"/>
          <w:sz w:val="22"/>
          <w:szCs w:val="22"/>
        </w:rPr>
        <w:t>carbohydrate</w:t>
      </w:r>
      <w:r w:rsidRPr="00B027A9">
        <w:rPr>
          <w:rFonts w:ascii="Arial" w:hAnsi="Arial" w:cs="Arial"/>
          <w:color w:val="auto"/>
          <w:sz w:val="22"/>
          <w:szCs w:val="22"/>
        </w:rPr>
        <w:t xml:space="preserve"> </w:t>
      </w:r>
      <w:r w:rsidR="00E86EB9">
        <w:rPr>
          <w:rFonts w:ascii="Arial" w:hAnsi="Arial" w:cs="Arial"/>
          <w:color w:val="auto"/>
          <w:sz w:val="22"/>
          <w:szCs w:val="22"/>
        </w:rPr>
        <w:t xml:space="preserve">content </w:t>
      </w:r>
      <w:r w:rsidRPr="00B027A9">
        <w:rPr>
          <w:rFonts w:ascii="Arial" w:hAnsi="Arial" w:cs="Arial"/>
          <w:color w:val="auto"/>
          <w:sz w:val="22"/>
          <w:szCs w:val="22"/>
        </w:rPr>
        <w:t>extends the range of</w:t>
      </w:r>
      <w:r w:rsidR="00F30226">
        <w:rPr>
          <w:rFonts w:ascii="Arial" w:hAnsi="Arial" w:cs="Arial"/>
          <w:color w:val="auto"/>
          <w:sz w:val="22"/>
          <w:szCs w:val="22"/>
        </w:rPr>
        <w:t xml:space="preserve"> electrolyte drinks </w:t>
      </w:r>
      <w:r w:rsidRPr="00B027A9">
        <w:rPr>
          <w:rFonts w:ascii="Arial" w:hAnsi="Arial" w:cs="Arial"/>
          <w:color w:val="auto"/>
          <w:sz w:val="22"/>
          <w:szCs w:val="22"/>
        </w:rPr>
        <w:t xml:space="preserve">to </w:t>
      </w:r>
      <w:r w:rsidR="00A3009B">
        <w:rPr>
          <w:rFonts w:ascii="Arial" w:hAnsi="Arial" w:cs="Arial"/>
          <w:color w:val="auto"/>
          <w:sz w:val="22"/>
          <w:szCs w:val="22"/>
        </w:rPr>
        <w:t xml:space="preserve">include </w:t>
      </w:r>
      <w:r w:rsidRPr="00B027A9">
        <w:rPr>
          <w:rFonts w:ascii="Arial" w:hAnsi="Arial" w:cs="Arial"/>
          <w:color w:val="auto"/>
          <w:sz w:val="22"/>
          <w:szCs w:val="22"/>
        </w:rPr>
        <w:t>hypotonic</w:t>
      </w:r>
      <w:r w:rsidR="0052629D">
        <w:rPr>
          <w:rFonts w:ascii="Arial" w:hAnsi="Arial" w:cs="Arial"/>
          <w:color w:val="auto"/>
          <w:sz w:val="22"/>
          <w:szCs w:val="22"/>
        </w:rPr>
        <w:t xml:space="preserve"> electrolyte drinks.</w:t>
      </w:r>
      <w:r w:rsidRPr="00B027A9">
        <w:rPr>
          <w:rFonts w:ascii="Arial" w:hAnsi="Arial" w:cs="Arial"/>
          <w:color w:val="auto"/>
          <w:sz w:val="22"/>
          <w:szCs w:val="22"/>
        </w:rPr>
        <w:t xml:space="preserve"> </w:t>
      </w:r>
      <w:r w:rsidR="006C7DCE">
        <w:rPr>
          <w:rFonts w:ascii="Arial" w:hAnsi="Arial" w:cs="Arial"/>
          <w:color w:val="auto"/>
          <w:sz w:val="22"/>
          <w:szCs w:val="22"/>
        </w:rPr>
        <w:t>This is because:</w:t>
      </w:r>
    </w:p>
    <w:p w14:paraId="7A40576C" w14:textId="20281457" w:rsidR="00E912F4" w:rsidRDefault="00E86EB9" w:rsidP="00965DE2">
      <w:pPr>
        <w:pStyle w:val="FSBullet1"/>
        <w:spacing w:before="120" w:after="120"/>
      </w:pPr>
      <w:r>
        <w:t>FSANZ</w:t>
      </w:r>
      <w:r w:rsidRPr="00B027A9">
        <w:t xml:space="preserve"> </w:t>
      </w:r>
      <w:r w:rsidR="00B027A9" w:rsidRPr="00B027A9">
        <w:t>found</w:t>
      </w:r>
      <w:r w:rsidR="006A60D1" w:rsidRPr="00B027A9">
        <w:t xml:space="preserve"> no difference between</w:t>
      </w:r>
      <w:r w:rsidR="00F30226">
        <w:t xml:space="preserve"> electrolyte drinks </w:t>
      </w:r>
      <w:r w:rsidR="0061734B">
        <w:t>having</w:t>
      </w:r>
      <w:r w:rsidR="006A60D1" w:rsidRPr="00B027A9">
        <w:t xml:space="preserve"> </w:t>
      </w:r>
      <w:r w:rsidR="0061734B">
        <w:t xml:space="preserve">the </w:t>
      </w:r>
      <w:r w:rsidR="006A60D1" w:rsidRPr="00B027A9">
        <w:t xml:space="preserve">current </w:t>
      </w:r>
      <w:r>
        <w:t xml:space="preserve">required </w:t>
      </w:r>
      <w:r w:rsidR="0052629D">
        <w:t>carbohydrate</w:t>
      </w:r>
      <w:r>
        <w:t xml:space="preserve"> </w:t>
      </w:r>
      <w:r w:rsidR="00A3009B">
        <w:t>levels</w:t>
      </w:r>
      <w:r w:rsidR="0061734B">
        <w:t xml:space="preserve"> or </w:t>
      </w:r>
      <w:r w:rsidR="00A3009B">
        <w:t xml:space="preserve">a </w:t>
      </w:r>
      <w:r w:rsidR="006A60D1" w:rsidRPr="00B027A9">
        <w:t xml:space="preserve">lower minimum </w:t>
      </w:r>
      <w:r w:rsidR="0052629D">
        <w:t>carbohydrate</w:t>
      </w:r>
      <w:r w:rsidR="006A60D1" w:rsidRPr="00B027A9">
        <w:t xml:space="preserve"> in relation to hydration and consequent performance effects</w:t>
      </w:r>
      <w:r>
        <w:t xml:space="preserve"> (SD1)</w:t>
      </w:r>
      <w:r w:rsidR="004E2462">
        <w:t>;</w:t>
      </w:r>
      <w:r w:rsidR="006A60D1" w:rsidRPr="00B027A9">
        <w:t xml:space="preserve"> and </w:t>
      </w:r>
    </w:p>
    <w:p w14:paraId="4818565B" w14:textId="6256EDC3" w:rsidR="00E912F4" w:rsidRDefault="006A60D1" w:rsidP="00965DE2">
      <w:pPr>
        <w:pStyle w:val="FSBullet1"/>
        <w:spacing w:before="120" w:after="120"/>
      </w:pPr>
      <w:r w:rsidRPr="00B027A9">
        <w:lastRenderedPageBreak/>
        <w:t xml:space="preserve">the same </w:t>
      </w:r>
      <w:r w:rsidR="00E86EB9">
        <w:t xml:space="preserve">lower </w:t>
      </w:r>
      <w:r w:rsidR="00A3009B">
        <w:t xml:space="preserve">minimum </w:t>
      </w:r>
      <w:r w:rsidR="0052629D">
        <w:t>carbohydrate</w:t>
      </w:r>
      <w:r w:rsidR="00A3009B">
        <w:t xml:space="preserve"> </w:t>
      </w:r>
      <w:r w:rsidR="00E86EB9">
        <w:t xml:space="preserve">content </w:t>
      </w:r>
      <w:r w:rsidRPr="00B027A9">
        <w:t>appl</w:t>
      </w:r>
      <w:r w:rsidR="00D42314">
        <w:t>ies</w:t>
      </w:r>
      <w:r w:rsidRPr="00B027A9">
        <w:t xml:space="preserve"> to </w:t>
      </w:r>
      <w:r w:rsidR="00D42314">
        <w:t>both</w:t>
      </w:r>
      <w:r w:rsidRPr="00B027A9">
        <w:t xml:space="preserve"> EU claims</w:t>
      </w:r>
      <w:r w:rsidR="00DE16D4">
        <w:t xml:space="preserve"> about water absorption and performance</w:t>
      </w:r>
      <w:r w:rsidR="006C7DCE">
        <w:t>.</w:t>
      </w:r>
      <w:r w:rsidRPr="00B027A9">
        <w:t xml:space="preserve"> </w:t>
      </w:r>
    </w:p>
    <w:p w14:paraId="522AB79F" w14:textId="55366864" w:rsidR="00F0639D" w:rsidRDefault="006C7DCE" w:rsidP="00424BD1">
      <w:pPr>
        <w:pStyle w:val="Default"/>
        <w:spacing w:before="120" w:after="120"/>
        <w:rPr>
          <w:rFonts w:ascii="Arial" w:hAnsi="Arial" w:cs="Arial"/>
          <w:color w:val="auto"/>
          <w:sz w:val="22"/>
          <w:szCs w:val="22"/>
        </w:rPr>
      </w:pPr>
      <w:r>
        <w:rPr>
          <w:rFonts w:ascii="Arial" w:hAnsi="Arial" w:cs="Arial"/>
          <w:color w:val="auto"/>
          <w:sz w:val="22"/>
          <w:szCs w:val="22"/>
        </w:rPr>
        <w:t>T</w:t>
      </w:r>
      <w:r w:rsidR="006A60D1" w:rsidRPr="00B027A9">
        <w:rPr>
          <w:rFonts w:ascii="Arial" w:hAnsi="Arial" w:cs="Arial"/>
          <w:color w:val="auto"/>
          <w:sz w:val="22"/>
          <w:szCs w:val="22"/>
        </w:rPr>
        <w:t xml:space="preserve">he </w:t>
      </w:r>
      <w:r w:rsidR="00A3009B">
        <w:rPr>
          <w:rFonts w:ascii="Arial" w:hAnsi="Arial" w:cs="Arial"/>
          <w:color w:val="auto"/>
          <w:sz w:val="22"/>
          <w:szCs w:val="22"/>
        </w:rPr>
        <w:t xml:space="preserve">current </w:t>
      </w:r>
      <w:r w:rsidR="002462C1">
        <w:rPr>
          <w:rFonts w:ascii="Arial" w:hAnsi="Arial" w:cs="Arial"/>
          <w:color w:val="auto"/>
          <w:sz w:val="22"/>
          <w:szCs w:val="22"/>
        </w:rPr>
        <w:t xml:space="preserve">claim permission </w:t>
      </w:r>
      <w:r w:rsidR="0061734B">
        <w:rPr>
          <w:rFonts w:ascii="Arial" w:hAnsi="Arial" w:cs="Arial"/>
          <w:color w:val="auto"/>
          <w:sz w:val="22"/>
          <w:szCs w:val="22"/>
        </w:rPr>
        <w:t>i</w:t>
      </w:r>
      <w:r w:rsidR="00F02BA0">
        <w:rPr>
          <w:rFonts w:ascii="Arial" w:hAnsi="Arial" w:cs="Arial"/>
          <w:color w:val="auto"/>
          <w:sz w:val="22"/>
          <w:szCs w:val="22"/>
        </w:rPr>
        <w:t>n</w:t>
      </w:r>
      <w:r w:rsidR="00E912F4">
        <w:rPr>
          <w:rFonts w:ascii="Arial" w:hAnsi="Arial" w:cs="Arial"/>
          <w:color w:val="auto"/>
          <w:sz w:val="22"/>
          <w:szCs w:val="22"/>
        </w:rPr>
        <w:t xml:space="preserve"> Standard 2.6.2 </w:t>
      </w:r>
      <w:r w:rsidR="00E86EB9">
        <w:rPr>
          <w:rFonts w:ascii="Arial" w:hAnsi="Arial" w:cs="Arial"/>
          <w:color w:val="auto"/>
          <w:sz w:val="22"/>
          <w:szCs w:val="22"/>
        </w:rPr>
        <w:t>i</w:t>
      </w:r>
      <w:r w:rsidR="0061734B">
        <w:rPr>
          <w:rFonts w:ascii="Arial" w:hAnsi="Arial" w:cs="Arial"/>
          <w:color w:val="auto"/>
          <w:sz w:val="22"/>
          <w:szCs w:val="22"/>
        </w:rPr>
        <w:t xml:space="preserve">s </w:t>
      </w:r>
      <w:r>
        <w:rPr>
          <w:rFonts w:ascii="Arial" w:hAnsi="Arial" w:cs="Arial"/>
          <w:color w:val="auto"/>
          <w:sz w:val="22"/>
          <w:szCs w:val="22"/>
        </w:rPr>
        <w:t xml:space="preserve">therefore </w:t>
      </w:r>
      <w:r w:rsidR="00E912F4">
        <w:rPr>
          <w:rFonts w:ascii="Arial" w:hAnsi="Arial" w:cs="Arial"/>
          <w:color w:val="auto"/>
          <w:sz w:val="22"/>
          <w:szCs w:val="22"/>
        </w:rPr>
        <w:t xml:space="preserve">proposed to be </w:t>
      </w:r>
      <w:r w:rsidR="00FD5CE2">
        <w:rPr>
          <w:rFonts w:ascii="Arial" w:hAnsi="Arial" w:cs="Arial"/>
          <w:color w:val="auto"/>
          <w:sz w:val="22"/>
          <w:szCs w:val="22"/>
        </w:rPr>
        <w:t xml:space="preserve">replaced </w:t>
      </w:r>
      <w:r w:rsidR="002462C1">
        <w:rPr>
          <w:rFonts w:ascii="Arial" w:hAnsi="Arial" w:cs="Arial"/>
          <w:color w:val="auto"/>
          <w:sz w:val="22"/>
          <w:szCs w:val="22"/>
        </w:rPr>
        <w:t>with a permission for</w:t>
      </w:r>
      <w:r w:rsidR="00FD5CE2">
        <w:rPr>
          <w:rFonts w:ascii="Arial" w:hAnsi="Arial" w:cs="Arial"/>
          <w:color w:val="auto"/>
          <w:sz w:val="22"/>
          <w:szCs w:val="22"/>
        </w:rPr>
        <w:t xml:space="preserve"> </w:t>
      </w:r>
      <w:r>
        <w:rPr>
          <w:rFonts w:ascii="Arial" w:hAnsi="Arial" w:cs="Arial"/>
          <w:color w:val="auto"/>
          <w:sz w:val="22"/>
          <w:szCs w:val="22"/>
        </w:rPr>
        <w:t>three</w:t>
      </w:r>
      <w:r w:rsidR="00FD5CE2">
        <w:rPr>
          <w:rFonts w:ascii="Arial" w:hAnsi="Arial" w:cs="Arial"/>
          <w:color w:val="auto"/>
          <w:sz w:val="22"/>
          <w:szCs w:val="22"/>
        </w:rPr>
        <w:t xml:space="preserve"> </w:t>
      </w:r>
      <w:r w:rsidR="00A1557E">
        <w:rPr>
          <w:rFonts w:ascii="Arial" w:hAnsi="Arial" w:cs="Arial"/>
          <w:color w:val="auto"/>
          <w:sz w:val="22"/>
          <w:szCs w:val="22"/>
        </w:rPr>
        <w:t xml:space="preserve">health </w:t>
      </w:r>
      <w:r w:rsidR="00FD5CE2">
        <w:rPr>
          <w:rFonts w:ascii="Arial" w:hAnsi="Arial" w:cs="Arial"/>
          <w:color w:val="auto"/>
          <w:sz w:val="22"/>
          <w:szCs w:val="22"/>
        </w:rPr>
        <w:t>claims</w:t>
      </w:r>
      <w:r w:rsidR="00E86EB9">
        <w:rPr>
          <w:rFonts w:ascii="Arial" w:hAnsi="Arial" w:cs="Arial"/>
          <w:color w:val="auto"/>
          <w:sz w:val="22"/>
          <w:szCs w:val="22"/>
        </w:rPr>
        <w:t>:</w:t>
      </w:r>
      <w:r w:rsidR="00FD5CE2">
        <w:rPr>
          <w:rFonts w:ascii="Arial" w:hAnsi="Arial" w:cs="Arial"/>
          <w:color w:val="auto"/>
          <w:sz w:val="22"/>
          <w:szCs w:val="22"/>
        </w:rPr>
        <w:t xml:space="preserve"> for </w:t>
      </w:r>
      <w:r w:rsidR="004E2462">
        <w:rPr>
          <w:rFonts w:ascii="Arial" w:hAnsi="Arial" w:cs="Arial"/>
          <w:color w:val="auto"/>
          <w:sz w:val="22"/>
          <w:szCs w:val="22"/>
        </w:rPr>
        <w:t>hydration</w:t>
      </w:r>
      <w:r w:rsidR="00E912F4">
        <w:rPr>
          <w:rFonts w:ascii="Arial" w:hAnsi="Arial" w:cs="Arial"/>
          <w:color w:val="auto"/>
          <w:sz w:val="22"/>
          <w:szCs w:val="22"/>
        </w:rPr>
        <w:t>, f</w:t>
      </w:r>
      <w:r w:rsidR="00DE16D4">
        <w:rPr>
          <w:rFonts w:ascii="Arial" w:hAnsi="Arial" w:cs="Arial"/>
          <w:color w:val="auto"/>
          <w:sz w:val="22"/>
          <w:szCs w:val="22"/>
        </w:rPr>
        <w:t xml:space="preserve">or rehydration, </w:t>
      </w:r>
      <w:r w:rsidR="004E2462">
        <w:rPr>
          <w:rFonts w:ascii="Arial" w:hAnsi="Arial" w:cs="Arial"/>
          <w:color w:val="auto"/>
          <w:sz w:val="22"/>
          <w:szCs w:val="22"/>
        </w:rPr>
        <w:t xml:space="preserve">and </w:t>
      </w:r>
      <w:r w:rsidR="003E66A1">
        <w:rPr>
          <w:rFonts w:ascii="Arial" w:hAnsi="Arial" w:cs="Arial"/>
          <w:color w:val="auto"/>
          <w:sz w:val="22"/>
          <w:szCs w:val="22"/>
        </w:rPr>
        <w:t>hydration to maintain</w:t>
      </w:r>
      <w:r w:rsidR="0061734B">
        <w:rPr>
          <w:rFonts w:ascii="Arial" w:hAnsi="Arial" w:cs="Arial"/>
          <w:color w:val="auto"/>
          <w:sz w:val="22"/>
          <w:szCs w:val="22"/>
        </w:rPr>
        <w:t xml:space="preserve"> </w:t>
      </w:r>
      <w:r w:rsidR="004E2462">
        <w:rPr>
          <w:rFonts w:ascii="Arial" w:hAnsi="Arial" w:cs="Arial"/>
          <w:color w:val="auto"/>
          <w:sz w:val="22"/>
          <w:szCs w:val="22"/>
        </w:rPr>
        <w:t>performance</w:t>
      </w:r>
      <w:r w:rsidR="00E912F4">
        <w:rPr>
          <w:rFonts w:ascii="Arial" w:hAnsi="Arial" w:cs="Arial"/>
          <w:color w:val="auto"/>
          <w:sz w:val="22"/>
          <w:szCs w:val="22"/>
        </w:rPr>
        <w:t xml:space="preserve">. All </w:t>
      </w:r>
      <w:r>
        <w:rPr>
          <w:rFonts w:ascii="Arial" w:hAnsi="Arial" w:cs="Arial"/>
          <w:color w:val="auto"/>
          <w:sz w:val="22"/>
          <w:szCs w:val="22"/>
        </w:rPr>
        <w:t>three</w:t>
      </w:r>
      <w:r w:rsidR="00E912F4">
        <w:rPr>
          <w:rFonts w:ascii="Arial" w:hAnsi="Arial" w:cs="Arial"/>
          <w:color w:val="auto"/>
          <w:sz w:val="22"/>
          <w:szCs w:val="22"/>
        </w:rPr>
        <w:t xml:space="preserve"> </w:t>
      </w:r>
      <w:r w:rsidR="00A1557E">
        <w:rPr>
          <w:rFonts w:ascii="Arial" w:hAnsi="Arial" w:cs="Arial"/>
          <w:color w:val="auto"/>
          <w:sz w:val="22"/>
          <w:szCs w:val="22"/>
        </w:rPr>
        <w:t xml:space="preserve">health </w:t>
      </w:r>
      <w:r w:rsidR="00E912F4">
        <w:rPr>
          <w:rFonts w:ascii="Arial" w:hAnsi="Arial" w:cs="Arial"/>
          <w:color w:val="auto"/>
          <w:sz w:val="22"/>
          <w:szCs w:val="22"/>
        </w:rPr>
        <w:t xml:space="preserve">claims </w:t>
      </w:r>
      <w:r w:rsidR="00DA2C0C">
        <w:rPr>
          <w:rFonts w:ascii="Arial" w:hAnsi="Arial" w:cs="Arial"/>
          <w:color w:val="auto"/>
          <w:sz w:val="22"/>
          <w:szCs w:val="22"/>
        </w:rPr>
        <w:t xml:space="preserve">would </w:t>
      </w:r>
      <w:r w:rsidR="00E912F4">
        <w:rPr>
          <w:rFonts w:ascii="Arial" w:hAnsi="Arial" w:cs="Arial"/>
          <w:color w:val="auto"/>
          <w:sz w:val="22"/>
          <w:szCs w:val="22"/>
        </w:rPr>
        <w:t>be</w:t>
      </w:r>
      <w:r w:rsidR="00DE16D4">
        <w:rPr>
          <w:rFonts w:ascii="Arial" w:hAnsi="Arial" w:cs="Arial"/>
          <w:color w:val="auto"/>
          <w:sz w:val="22"/>
          <w:szCs w:val="22"/>
        </w:rPr>
        <w:t xml:space="preserve"> </w:t>
      </w:r>
      <w:r w:rsidR="00A3009B">
        <w:rPr>
          <w:rFonts w:ascii="Arial" w:hAnsi="Arial" w:cs="Arial"/>
          <w:color w:val="auto"/>
          <w:sz w:val="22"/>
          <w:szCs w:val="22"/>
        </w:rPr>
        <w:t xml:space="preserve">applicable </w:t>
      </w:r>
      <w:r w:rsidR="0061734B">
        <w:rPr>
          <w:rFonts w:ascii="Arial" w:hAnsi="Arial" w:cs="Arial"/>
          <w:color w:val="auto"/>
          <w:sz w:val="22"/>
          <w:szCs w:val="22"/>
        </w:rPr>
        <w:t xml:space="preserve">to </w:t>
      </w:r>
      <w:r w:rsidR="006A60D1" w:rsidRPr="00B027A9">
        <w:rPr>
          <w:rFonts w:ascii="Arial" w:hAnsi="Arial" w:cs="Arial"/>
          <w:color w:val="auto"/>
          <w:sz w:val="22"/>
          <w:szCs w:val="22"/>
        </w:rPr>
        <w:t>isotonic and hypotonic</w:t>
      </w:r>
      <w:r w:rsidR="0052629D">
        <w:rPr>
          <w:rFonts w:ascii="Arial" w:hAnsi="Arial" w:cs="Arial"/>
          <w:color w:val="auto"/>
          <w:sz w:val="22"/>
          <w:szCs w:val="22"/>
        </w:rPr>
        <w:t xml:space="preserve"> electrolyte drinks.</w:t>
      </w:r>
      <w:r w:rsidR="006A60D1" w:rsidRPr="00B027A9">
        <w:rPr>
          <w:rFonts w:ascii="Arial" w:hAnsi="Arial" w:cs="Arial"/>
          <w:color w:val="auto"/>
          <w:sz w:val="22"/>
          <w:szCs w:val="22"/>
        </w:rPr>
        <w:t xml:space="preserve">  </w:t>
      </w:r>
    </w:p>
    <w:p w14:paraId="220EB53E" w14:textId="0F64E6CA" w:rsidR="006A60D1" w:rsidRPr="00B027A9" w:rsidRDefault="00A1557E" w:rsidP="006656D4">
      <w:pPr>
        <w:pStyle w:val="Heading4"/>
      </w:pPr>
      <w:r>
        <w:t>Permitted health claims</w:t>
      </w:r>
    </w:p>
    <w:p w14:paraId="5B224B96" w14:textId="5E183421" w:rsidR="00A5293F" w:rsidRDefault="008F7097">
      <w:pPr>
        <w:widowControl/>
        <w:spacing w:before="120" w:after="120"/>
        <w:rPr>
          <w:szCs w:val="16"/>
        </w:rPr>
      </w:pPr>
      <w:r>
        <w:rPr>
          <w:szCs w:val="16"/>
        </w:rPr>
        <w:t xml:space="preserve">This </w:t>
      </w:r>
      <w:r w:rsidR="007F13DF">
        <w:rPr>
          <w:szCs w:val="16"/>
        </w:rPr>
        <w:t>sub</w:t>
      </w:r>
      <w:r>
        <w:rPr>
          <w:szCs w:val="16"/>
        </w:rPr>
        <w:t xml:space="preserve">section describes the particular changes </w:t>
      </w:r>
      <w:r w:rsidR="001744CA">
        <w:rPr>
          <w:szCs w:val="16"/>
        </w:rPr>
        <w:t xml:space="preserve">proposed </w:t>
      </w:r>
      <w:r>
        <w:rPr>
          <w:szCs w:val="16"/>
        </w:rPr>
        <w:t xml:space="preserve">to </w:t>
      </w:r>
      <w:r w:rsidR="006A0BBB">
        <w:rPr>
          <w:szCs w:val="16"/>
        </w:rPr>
        <w:t xml:space="preserve">amend </w:t>
      </w:r>
      <w:r>
        <w:rPr>
          <w:szCs w:val="16"/>
        </w:rPr>
        <w:t>the current claim</w:t>
      </w:r>
      <w:r w:rsidR="004348BC">
        <w:rPr>
          <w:szCs w:val="16"/>
        </w:rPr>
        <w:t xml:space="preserve"> </w:t>
      </w:r>
      <w:r w:rsidR="002462C1">
        <w:rPr>
          <w:szCs w:val="16"/>
        </w:rPr>
        <w:t>permission</w:t>
      </w:r>
      <w:r w:rsidR="001170DD">
        <w:rPr>
          <w:szCs w:val="16"/>
        </w:rPr>
        <w:t xml:space="preserve"> (see Section 2.3.5.2.1</w:t>
      </w:r>
      <w:r w:rsidR="003B0DE8">
        <w:rPr>
          <w:szCs w:val="16"/>
        </w:rPr>
        <w:t xml:space="preserve"> of this </w:t>
      </w:r>
      <w:r w:rsidR="00417F12">
        <w:rPr>
          <w:szCs w:val="16"/>
        </w:rPr>
        <w:t>C</w:t>
      </w:r>
      <w:r w:rsidR="003B0DE8">
        <w:rPr>
          <w:szCs w:val="16"/>
        </w:rPr>
        <w:t>onsultation paper</w:t>
      </w:r>
      <w:r w:rsidR="001170DD">
        <w:rPr>
          <w:szCs w:val="16"/>
        </w:rPr>
        <w:t>)</w:t>
      </w:r>
      <w:r w:rsidR="002462C1">
        <w:rPr>
          <w:szCs w:val="16"/>
        </w:rPr>
        <w:t xml:space="preserve"> </w:t>
      </w:r>
      <w:r w:rsidR="00190BCC">
        <w:rPr>
          <w:szCs w:val="16"/>
        </w:rPr>
        <w:t xml:space="preserve">and </w:t>
      </w:r>
      <w:r w:rsidR="004348BC">
        <w:rPr>
          <w:szCs w:val="16"/>
        </w:rPr>
        <w:t>reasons for the several inclusion</w:t>
      </w:r>
      <w:r w:rsidR="00D42314">
        <w:rPr>
          <w:szCs w:val="16"/>
        </w:rPr>
        <w:t>s</w:t>
      </w:r>
      <w:r w:rsidR="004348BC">
        <w:rPr>
          <w:szCs w:val="16"/>
        </w:rPr>
        <w:t xml:space="preserve"> and deletions</w:t>
      </w:r>
      <w:r>
        <w:rPr>
          <w:szCs w:val="16"/>
        </w:rPr>
        <w:t xml:space="preserve">. </w:t>
      </w:r>
    </w:p>
    <w:p w14:paraId="3053DDCC" w14:textId="68E8A94E" w:rsidR="004348BC" w:rsidRPr="004B2591" w:rsidRDefault="002B5D43">
      <w:pPr>
        <w:widowControl/>
        <w:spacing w:before="120" w:after="120"/>
      </w:pPr>
      <w:r>
        <w:rPr>
          <w:i/>
        </w:rPr>
        <w:t>Proposed i</w:t>
      </w:r>
      <w:r w:rsidR="004348BC">
        <w:rPr>
          <w:i/>
        </w:rPr>
        <w:t>nclusions</w:t>
      </w:r>
      <w:r w:rsidR="00DE16D4">
        <w:rPr>
          <w:i/>
        </w:rPr>
        <w:t>, changes</w:t>
      </w:r>
      <w:r w:rsidR="004348BC">
        <w:rPr>
          <w:i/>
        </w:rPr>
        <w:t xml:space="preserve"> and deletions</w:t>
      </w:r>
      <w:r w:rsidR="00DE16D4">
        <w:rPr>
          <w:i/>
        </w:rPr>
        <w:t xml:space="preserve"> </w:t>
      </w:r>
    </w:p>
    <w:p w14:paraId="53A334E1" w14:textId="2297E4E9" w:rsidR="00A5293F" w:rsidRPr="00190BCC" w:rsidRDefault="004348BC" w:rsidP="00965DE2">
      <w:pPr>
        <w:pStyle w:val="ListParagraph"/>
        <w:numPr>
          <w:ilvl w:val="0"/>
          <w:numId w:val="7"/>
        </w:numPr>
        <w:spacing w:before="120" w:after="120"/>
        <w:ind w:left="513"/>
        <w:contextualSpacing w:val="0"/>
      </w:pPr>
      <w:r w:rsidRPr="00190BCC">
        <w:rPr>
          <w:b/>
        </w:rPr>
        <w:t>Delete</w:t>
      </w:r>
      <w:r w:rsidRPr="00190BCC">
        <w:rPr>
          <w:i/>
        </w:rPr>
        <w:t xml:space="preserve"> </w:t>
      </w:r>
      <w:r w:rsidR="006A60D1" w:rsidRPr="00190BCC">
        <w:rPr>
          <w:i/>
        </w:rPr>
        <w:t>promot</w:t>
      </w:r>
      <w:r w:rsidR="006A0BBB">
        <w:rPr>
          <w:i/>
        </w:rPr>
        <w:t>e</w:t>
      </w:r>
      <w:r w:rsidR="006A60D1" w:rsidRPr="00190BCC">
        <w:rPr>
          <w:i/>
        </w:rPr>
        <w:t xml:space="preserve"> the availability of energy</w:t>
      </w:r>
      <w:r w:rsidR="006A60D1" w:rsidRPr="00190BCC">
        <w:t xml:space="preserve"> </w:t>
      </w:r>
      <w:r w:rsidRPr="00190BCC">
        <w:t xml:space="preserve">because </w:t>
      </w:r>
      <w:r w:rsidR="006A60D1" w:rsidRPr="00190BCC">
        <w:t xml:space="preserve">the </w:t>
      </w:r>
      <w:r w:rsidRPr="00190BCC">
        <w:t xml:space="preserve">minimum </w:t>
      </w:r>
      <w:r w:rsidR="006A60D1" w:rsidRPr="00190BCC">
        <w:t xml:space="preserve">energy from </w:t>
      </w:r>
      <w:r w:rsidR="0052629D">
        <w:t>carbohydrate</w:t>
      </w:r>
      <w:r w:rsidR="006A60D1" w:rsidRPr="00190BCC">
        <w:t xml:space="preserve"> content</w:t>
      </w:r>
      <w:r w:rsidRPr="00190BCC">
        <w:t xml:space="preserve"> is proposed to be reduced</w:t>
      </w:r>
      <w:r w:rsidR="006A60D1" w:rsidRPr="00190BCC">
        <w:t xml:space="preserve">. </w:t>
      </w:r>
      <w:r w:rsidRPr="00190BCC">
        <w:t>Also</w:t>
      </w:r>
      <w:r w:rsidR="00F30226">
        <w:t xml:space="preserve"> electrolyte drinks </w:t>
      </w:r>
      <w:r w:rsidR="00DA2C0C">
        <w:t>would</w:t>
      </w:r>
      <w:r w:rsidR="00DA2C0C" w:rsidRPr="00190BCC">
        <w:t xml:space="preserve"> </w:t>
      </w:r>
      <w:r w:rsidRPr="00190BCC">
        <w:t xml:space="preserve">continue to be permitted to carry </w:t>
      </w:r>
      <w:r w:rsidR="00A15C3A">
        <w:t xml:space="preserve">nutrition </w:t>
      </w:r>
      <w:r w:rsidR="00A5293F" w:rsidRPr="00190BCC">
        <w:t>content claims</w:t>
      </w:r>
      <w:r w:rsidR="00A15C3A">
        <w:t xml:space="preserve"> about energy</w:t>
      </w:r>
      <w:r w:rsidRPr="00190BCC">
        <w:t xml:space="preserve">. </w:t>
      </w:r>
    </w:p>
    <w:p w14:paraId="6EFC7EC9" w14:textId="77777777" w:rsidR="009B2D12" w:rsidRDefault="004348BC" w:rsidP="00965DE2">
      <w:pPr>
        <w:pStyle w:val="ListParagraph"/>
        <w:numPr>
          <w:ilvl w:val="0"/>
          <w:numId w:val="7"/>
        </w:numPr>
        <w:spacing w:before="120" w:after="120"/>
        <w:ind w:left="513"/>
        <w:contextualSpacing w:val="0"/>
      </w:pPr>
      <w:r w:rsidRPr="00190BCC">
        <w:rPr>
          <w:b/>
        </w:rPr>
        <w:t>Change</w:t>
      </w:r>
      <w:r w:rsidRPr="00190BCC">
        <w:rPr>
          <w:i/>
        </w:rPr>
        <w:t xml:space="preserve"> </w:t>
      </w:r>
      <w:r w:rsidR="006A60D1" w:rsidRPr="00190BCC">
        <w:rPr>
          <w:i/>
        </w:rPr>
        <w:t>prevent or treat mild dehydration</w:t>
      </w:r>
      <w:r w:rsidR="00231513" w:rsidRPr="00190BCC">
        <w:rPr>
          <w:i/>
        </w:rPr>
        <w:t>.</w:t>
      </w:r>
      <w:r w:rsidR="006A60D1" w:rsidRPr="00190BCC">
        <w:t xml:space="preserve"> </w:t>
      </w:r>
      <w:r w:rsidR="00231513" w:rsidRPr="00190BCC">
        <w:t>T</w:t>
      </w:r>
      <w:r w:rsidR="006A60D1" w:rsidRPr="00190BCC">
        <w:t xml:space="preserve">he claim’s original language was devised in the early 1990s and includes words that imply a therapeutic intent. </w:t>
      </w:r>
      <w:r w:rsidR="008C6B7B" w:rsidRPr="00190BCC">
        <w:t xml:space="preserve">The Policy Guideline on Nutrition, Health and Related claims states that therapeutic claims </w:t>
      </w:r>
      <w:r w:rsidR="00320C57" w:rsidRPr="00190BCC">
        <w:t xml:space="preserve">should </w:t>
      </w:r>
      <w:r w:rsidR="008C6B7B" w:rsidRPr="00190BCC">
        <w:t xml:space="preserve">not </w:t>
      </w:r>
      <w:r w:rsidR="00320C57" w:rsidRPr="00190BCC">
        <w:t xml:space="preserve">be </w:t>
      </w:r>
      <w:r w:rsidR="008C6B7B" w:rsidRPr="00190BCC">
        <w:t>permitted and</w:t>
      </w:r>
      <w:r w:rsidR="006A60D1" w:rsidRPr="00190BCC">
        <w:t xml:space="preserve"> </w:t>
      </w:r>
      <w:r w:rsidR="00A5746B" w:rsidRPr="00190BCC">
        <w:t xml:space="preserve">the more recent </w:t>
      </w:r>
      <w:r w:rsidR="006A60D1" w:rsidRPr="00190BCC">
        <w:t>Standard 1.2.7</w:t>
      </w:r>
      <w:r w:rsidR="002B5D43">
        <w:t xml:space="preserve"> </w:t>
      </w:r>
      <w:r w:rsidR="006A60D1" w:rsidRPr="00190BCC">
        <w:t xml:space="preserve">requires claims regulated by that Standard not </w:t>
      </w:r>
      <w:r w:rsidR="00D30D46">
        <w:t xml:space="preserve">to </w:t>
      </w:r>
      <w:r w:rsidR="006A60D1" w:rsidRPr="00190BCC">
        <w:t xml:space="preserve">refer to the prevention, </w:t>
      </w:r>
      <w:r w:rsidR="00231513" w:rsidRPr="00190BCC">
        <w:t xml:space="preserve">diagnosis, </w:t>
      </w:r>
      <w:r w:rsidR="006A60D1" w:rsidRPr="00190BCC">
        <w:t xml:space="preserve">cure or alleviation of a </w:t>
      </w:r>
      <w:r w:rsidR="00231513" w:rsidRPr="00190BCC">
        <w:t xml:space="preserve">disease, disorder or </w:t>
      </w:r>
      <w:r w:rsidR="006A60D1" w:rsidRPr="00190BCC">
        <w:t>condition</w:t>
      </w:r>
      <w:r w:rsidR="002B5D43">
        <w:t xml:space="preserve"> (section 1.2.7—8)</w:t>
      </w:r>
      <w:r w:rsidR="008C6B7B" w:rsidRPr="00190BCC">
        <w:t>. T</w:t>
      </w:r>
      <w:r w:rsidR="006A60D1" w:rsidRPr="00190BCC">
        <w:t xml:space="preserve">he use of </w:t>
      </w:r>
      <w:r w:rsidR="006A60D1" w:rsidRPr="00190BCC">
        <w:rPr>
          <w:i/>
        </w:rPr>
        <w:t>prevent or treat</w:t>
      </w:r>
      <w:r w:rsidR="006A60D1" w:rsidRPr="00190BCC">
        <w:t xml:space="preserve"> in </w:t>
      </w:r>
      <w:r w:rsidR="00007E2E" w:rsidRPr="00190BCC">
        <w:t xml:space="preserve">the </w:t>
      </w:r>
      <w:r w:rsidR="008F7097" w:rsidRPr="00190BCC">
        <w:t>claim</w:t>
      </w:r>
      <w:r w:rsidR="006A60D1" w:rsidRPr="00190BCC">
        <w:t xml:space="preserve"> </w:t>
      </w:r>
      <w:r w:rsidR="002462C1" w:rsidRPr="00190BCC">
        <w:t>permi</w:t>
      </w:r>
      <w:r w:rsidR="002462C1">
        <w:t>ssion</w:t>
      </w:r>
      <w:r w:rsidR="002462C1" w:rsidRPr="00190BCC">
        <w:t xml:space="preserve"> </w:t>
      </w:r>
      <w:r w:rsidR="006A60D1" w:rsidRPr="00190BCC">
        <w:t xml:space="preserve">is inconsistent with </w:t>
      </w:r>
      <w:r w:rsidR="008C6B7B" w:rsidRPr="00190BCC">
        <w:t xml:space="preserve">the policy guidance </w:t>
      </w:r>
      <w:r w:rsidR="00320C57" w:rsidRPr="00190BCC">
        <w:t xml:space="preserve">and the intent of </w:t>
      </w:r>
      <w:r w:rsidR="006A60D1" w:rsidRPr="00190BCC">
        <w:t xml:space="preserve">Standard 1.2.7 and </w:t>
      </w:r>
      <w:r w:rsidR="00231513" w:rsidRPr="00190BCC">
        <w:t>is</w:t>
      </w:r>
      <w:r w:rsidR="006A60D1" w:rsidRPr="00190BCC">
        <w:t xml:space="preserve"> </w:t>
      </w:r>
      <w:r w:rsidR="00320C57" w:rsidRPr="00190BCC">
        <w:t xml:space="preserve">therefore proposed to be </w:t>
      </w:r>
      <w:r w:rsidR="006A60D1" w:rsidRPr="00190BCC">
        <w:t xml:space="preserve">removed. </w:t>
      </w:r>
    </w:p>
    <w:p w14:paraId="1CEAF688" w14:textId="6194ABEE" w:rsidR="00BA00AE" w:rsidRPr="00190BCC" w:rsidRDefault="008F7097" w:rsidP="00965DE2">
      <w:pPr>
        <w:pStyle w:val="ListParagraph"/>
        <w:spacing w:before="120" w:after="120"/>
        <w:ind w:left="513"/>
        <w:contextualSpacing w:val="0"/>
      </w:pPr>
      <w:r w:rsidRPr="009B2D12">
        <w:rPr>
          <w:i/>
        </w:rPr>
        <w:t xml:space="preserve">Dehydration </w:t>
      </w:r>
      <w:r w:rsidR="00D30D46">
        <w:t>can be</w:t>
      </w:r>
      <w:r w:rsidRPr="00190BCC">
        <w:t xml:space="preserve"> readily modified to re</w:t>
      </w:r>
      <w:r w:rsidR="009B04F1">
        <w:t>/</w:t>
      </w:r>
      <w:r w:rsidRPr="00190BCC">
        <w:t xml:space="preserve">hydration. FSANZ has not used </w:t>
      </w:r>
      <w:r w:rsidRPr="009B2D12">
        <w:rPr>
          <w:i/>
        </w:rPr>
        <w:t>water absorption</w:t>
      </w:r>
      <w:r w:rsidRPr="00190BCC">
        <w:t xml:space="preserve"> </w:t>
      </w:r>
      <w:r w:rsidR="00370497">
        <w:t>from</w:t>
      </w:r>
      <w:r w:rsidRPr="00190BCC">
        <w:t xml:space="preserve"> the EU claim because of possible confusion with a water beverage which </w:t>
      </w:r>
      <w:r w:rsidR="00370497">
        <w:t>is suitable</w:t>
      </w:r>
      <w:r w:rsidRPr="00190BCC">
        <w:t xml:space="preserve"> for hydration.</w:t>
      </w:r>
    </w:p>
    <w:p w14:paraId="6155615E" w14:textId="215B0504" w:rsidR="00524B3A" w:rsidRPr="00190BCC" w:rsidRDefault="00524B3A" w:rsidP="00965DE2">
      <w:pPr>
        <w:pStyle w:val="ListParagraph"/>
        <w:numPr>
          <w:ilvl w:val="0"/>
          <w:numId w:val="7"/>
        </w:numPr>
        <w:spacing w:before="120" w:after="120"/>
        <w:ind w:left="513"/>
        <w:contextualSpacing w:val="0"/>
      </w:pPr>
      <w:r w:rsidRPr="00190BCC">
        <w:rPr>
          <w:b/>
        </w:rPr>
        <w:t>Adopt</w:t>
      </w:r>
      <w:r w:rsidRPr="00190BCC">
        <w:t xml:space="preserve"> </w:t>
      </w:r>
      <w:r w:rsidRPr="00190BCC">
        <w:rPr>
          <w:rFonts w:cs="Arial"/>
          <w:i/>
          <w:lang w:bidi="en-US"/>
        </w:rPr>
        <w:t>contribute to the maintenance of</w:t>
      </w:r>
      <w:r w:rsidR="00D35E20" w:rsidRPr="00190BCC">
        <w:rPr>
          <w:rFonts w:cs="Arial"/>
          <w:i/>
          <w:lang w:bidi="en-US"/>
        </w:rPr>
        <w:t xml:space="preserve"> performance</w:t>
      </w:r>
      <w:r w:rsidRPr="00190BCC">
        <w:rPr>
          <w:rFonts w:cs="Arial"/>
          <w:i/>
          <w:lang w:bidi="en-US"/>
        </w:rPr>
        <w:t xml:space="preserve"> </w:t>
      </w:r>
      <w:r w:rsidRPr="00190BCC">
        <w:t>from the EU performance claim</w:t>
      </w:r>
      <w:r w:rsidR="009B2D12">
        <w:t>.</w:t>
      </w:r>
    </w:p>
    <w:p w14:paraId="07081D4F" w14:textId="73185AF6" w:rsidR="00190BCC" w:rsidRPr="00190BCC" w:rsidRDefault="00190BCC" w:rsidP="00965DE2">
      <w:pPr>
        <w:pStyle w:val="ListParagraph"/>
        <w:numPr>
          <w:ilvl w:val="0"/>
          <w:numId w:val="7"/>
        </w:numPr>
        <w:spacing w:before="120" w:after="120"/>
        <w:ind w:left="513"/>
        <w:contextualSpacing w:val="0"/>
      </w:pPr>
      <w:r w:rsidRPr="00190BCC">
        <w:rPr>
          <w:b/>
        </w:rPr>
        <w:t>Retain</w:t>
      </w:r>
      <w:r w:rsidRPr="00190BCC">
        <w:t xml:space="preserve"> </w:t>
      </w:r>
      <w:r w:rsidR="00BA00AE" w:rsidRPr="00190BCC">
        <w:rPr>
          <w:i/>
        </w:rPr>
        <w:t xml:space="preserve">strenuous exercise </w:t>
      </w:r>
      <w:r w:rsidRPr="00190BCC">
        <w:t>but replace</w:t>
      </w:r>
      <w:r w:rsidR="00BA00AE" w:rsidRPr="00190BCC">
        <w:rPr>
          <w:i/>
        </w:rPr>
        <w:t xml:space="preserve"> exercise </w:t>
      </w:r>
      <w:r w:rsidR="00BA00AE" w:rsidRPr="00190BCC">
        <w:t>by</w:t>
      </w:r>
      <w:r w:rsidR="00BA00AE" w:rsidRPr="00190BCC">
        <w:rPr>
          <w:i/>
        </w:rPr>
        <w:t xml:space="preserve"> physical activity </w:t>
      </w:r>
      <w:r w:rsidR="00BA00AE" w:rsidRPr="00190BCC">
        <w:rPr>
          <w:rFonts w:cs="Arial"/>
        </w:rPr>
        <w:t>to allow for a wider target group (including those who exercise)</w:t>
      </w:r>
      <w:r w:rsidR="00BA00AE" w:rsidRPr="00190BCC">
        <w:rPr>
          <w:rFonts w:cs="Arial"/>
          <w:lang w:bidi="en-US"/>
        </w:rPr>
        <w:t xml:space="preserve">. </w:t>
      </w:r>
    </w:p>
    <w:p w14:paraId="71AE32EA" w14:textId="6750E069" w:rsidR="00A5746B" w:rsidRPr="00190BCC" w:rsidRDefault="00190BCC" w:rsidP="00965DE2">
      <w:pPr>
        <w:pStyle w:val="ListParagraph"/>
        <w:numPr>
          <w:ilvl w:val="0"/>
          <w:numId w:val="7"/>
        </w:numPr>
        <w:spacing w:before="120" w:after="120"/>
        <w:ind w:left="513"/>
        <w:contextualSpacing w:val="0"/>
      </w:pPr>
      <w:r w:rsidRPr="00190BCC">
        <w:rPr>
          <w:rFonts w:cs="Arial"/>
          <w:b/>
          <w:lang w:bidi="en-US"/>
        </w:rPr>
        <w:t>Replace</w:t>
      </w:r>
      <w:r w:rsidRPr="00190BCC">
        <w:rPr>
          <w:rFonts w:cs="Arial"/>
          <w:lang w:bidi="en-US"/>
        </w:rPr>
        <w:t xml:space="preserve"> </w:t>
      </w:r>
      <w:r w:rsidR="00DE16D4">
        <w:rPr>
          <w:rFonts w:cs="Arial"/>
          <w:lang w:bidi="en-US"/>
        </w:rPr>
        <w:t>s</w:t>
      </w:r>
      <w:r w:rsidR="00BA00AE" w:rsidRPr="00190BCC">
        <w:rPr>
          <w:i/>
        </w:rPr>
        <w:t>ustained</w:t>
      </w:r>
      <w:r w:rsidR="00BA00AE" w:rsidRPr="00190BCC">
        <w:t xml:space="preserve"> (</w:t>
      </w:r>
      <w:r w:rsidR="00DE16D4">
        <w:t>similar to</w:t>
      </w:r>
      <w:r w:rsidR="00BA00AE" w:rsidRPr="00190BCC">
        <w:t xml:space="preserve"> </w:t>
      </w:r>
      <w:r w:rsidR="00BA00AE" w:rsidRPr="00190BCC">
        <w:rPr>
          <w:i/>
        </w:rPr>
        <w:t>endurance</w:t>
      </w:r>
      <w:r w:rsidR="00BA00AE" w:rsidRPr="00190BCC">
        <w:t xml:space="preserve"> in EU performance claim) </w:t>
      </w:r>
      <w:r>
        <w:t xml:space="preserve">with </w:t>
      </w:r>
      <w:r w:rsidR="00BA00AE" w:rsidRPr="00190BCC">
        <w:rPr>
          <w:i/>
        </w:rPr>
        <w:t>60 minutes</w:t>
      </w:r>
      <w:r w:rsidR="00007E2E" w:rsidRPr="00190BCC">
        <w:rPr>
          <w:i/>
        </w:rPr>
        <w:t xml:space="preserve"> or more</w:t>
      </w:r>
      <w:r w:rsidR="00BA00AE" w:rsidRPr="00190BCC">
        <w:rPr>
          <w:i/>
        </w:rPr>
        <w:t xml:space="preserve"> </w:t>
      </w:r>
      <w:r w:rsidR="00BA00AE" w:rsidRPr="00190BCC">
        <w:t xml:space="preserve">to </w:t>
      </w:r>
      <w:r w:rsidR="008F7097" w:rsidRPr="00190BCC">
        <w:t xml:space="preserve">quantify </w:t>
      </w:r>
      <w:r>
        <w:t xml:space="preserve">the minimum amount of time needed for strenuous activity </w:t>
      </w:r>
      <w:r w:rsidR="008F7097" w:rsidRPr="00190BCC">
        <w:t xml:space="preserve">to </w:t>
      </w:r>
      <w:r w:rsidR="00BA00AE" w:rsidRPr="00190BCC">
        <w:t xml:space="preserve">provide guidance </w:t>
      </w:r>
      <w:r>
        <w:t xml:space="preserve">on the appropriate use </w:t>
      </w:r>
      <w:r w:rsidRPr="00190BCC">
        <w:t>of the product</w:t>
      </w:r>
      <w:r>
        <w:t xml:space="preserve"> to</w:t>
      </w:r>
      <w:r w:rsidR="008F7097" w:rsidRPr="00190BCC">
        <w:t xml:space="preserve"> </w:t>
      </w:r>
      <w:r>
        <w:t>both target</w:t>
      </w:r>
      <w:r w:rsidR="008F7097" w:rsidRPr="00190BCC">
        <w:t xml:space="preserve"> </w:t>
      </w:r>
      <w:r>
        <w:t xml:space="preserve">and non-target </w:t>
      </w:r>
      <w:r w:rsidR="00BA00AE" w:rsidRPr="00190BCC">
        <w:t>consumers</w:t>
      </w:r>
      <w:r w:rsidR="00BA00AE" w:rsidRPr="00190BCC">
        <w:rPr>
          <w:i/>
        </w:rPr>
        <w:t>.</w:t>
      </w:r>
    </w:p>
    <w:p w14:paraId="5F593E16" w14:textId="43991DD2" w:rsidR="003F5539" w:rsidRDefault="00190BCC" w:rsidP="00965DE2">
      <w:pPr>
        <w:pStyle w:val="ListParagraph"/>
        <w:numPr>
          <w:ilvl w:val="0"/>
          <w:numId w:val="7"/>
        </w:numPr>
        <w:spacing w:before="120" w:after="120"/>
        <w:ind w:left="513"/>
        <w:contextualSpacing w:val="0"/>
      </w:pPr>
      <w:r w:rsidRPr="00190BCC">
        <w:rPr>
          <w:b/>
        </w:rPr>
        <w:t>R</w:t>
      </w:r>
      <w:r>
        <w:rPr>
          <w:b/>
        </w:rPr>
        <w:t>e</w:t>
      </w:r>
      <w:r w:rsidRPr="00190BCC">
        <w:rPr>
          <w:b/>
        </w:rPr>
        <w:t>place</w:t>
      </w:r>
      <w:r w:rsidRPr="00190BCC">
        <w:t xml:space="preserve"> </w:t>
      </w:r>
      <w:r w:rsidRPr="00190BCC">
        <w:rPr>
          <w:i/>
        </w:rPr>
        <w:t xml:space="preserve">may occur as a result </w:t>
      </w:r>
      <w:r>
        <w:rPr>
          <w:i/>
        </w:rPr>
        <w:t xml:space="preserve">of </w:t>
      </w:r>
      <w:r w:rsidRPr="00190BCC">
        <w:t>with</w:t>
      </w:r>
      <w:r w:rsidR="00D7586C" w:rsidRPr="00190BCC">
        <w:t xml:space="preserve"> </w:t>
      </w:r>
      <w:r w:rsidR="0099152D" w:rsidRPr="00190BCC">
        <w:t xml:space="preserve">a </w:t>
      </w:r>
      <w:r w:rsidR="003F5539" w:rsidRPr="00190BCC">
        <w:t xml:space="preserve">time element </w:t>
      </w:r>
      <w:r w:rsidR="003F5539" w:rsidRPr="00190BCC">
        <w:rPr>
          <w:i/>
        </w:rPr>
        <w:t>during</w:t>
      </w:r>
      <w:r>
        <w:rPr>
          <w:i/>
        </w:rPr>
        <w:t xml:space="preserve"> and after</w:t>
      </w:r>
      <w:r w:rsidR="003F5539" w:rsidRPr="00190BCC">
        <w:t xml:space="preserve"> </w:t>
      </w:r>
      <w:r w:rsidR="00D7586C" w:rsidRPr="00190BCC">
        <w:t>to</w:t>
      </w:r>
      <w:r w:rsidR="00E947C2" w:rsidRPr="00190BCC">
        <w:t xml:space="preserve"> </w:t>
      </w:r>
      <w:r w:rsidR="003F5539" w:rsidRPr="00190BCC">
        <w:t>indicate the period</w:t>
      </w:r>
      <w:r w:rsidR="00D7586C" w:rsidRPr="00190BCC">
        <w:t>s</w:t>
      </w:r>
      <w:r w:rsidR="003F5539" w:rsidRPr="00190BCC">
        <w:t xml:space="preserve"> relevant to the intended effect.</w:t>
      </w:r>
    </w:p>
    <w:p w14:paraId="7482EDAD" w14:textId="64A4703A" w:rsidR="00DE16D4" w:rsidRPr="007C4235" w:rsidRDefault="00DE16D4">
      <w:pPr>
        <w:widowControl/>
        <w:spacing w:before="120" w:after="120"/>
      </w:pPr>
      <w:r w:rsidRPr="00D903F8">
        <w:t xml:space="preserve">These </w:t>
      </w:r>
      <w:r w:rsidR="007C4235">
        <w:t xml:space="preserve">proposed </w:t>
      </w:r>
      <w:r w:rsidR="002B5D43" w:rsidRPr="00D903F8">
        <w:t>i</w:t>
      </w:r>
      <w:r w:rsidRPr="00D903F8">
        <w:t xml:space="preserve">nclusions and deletions </w:t>
      </w:r>
      <w:r w:rsidR="00DA2C0C">
        <w:t>would</w:t>
      </w:r>
      <w:r w:rsidR="007C4235">
        <w:t xml:space="preserve"> have the effect of permitting</w:t>
      </w:r>
      <w:r w:rsidRPr="00D903F8">
        <w:t xml:space="preserve"> the</w:t>
      </w:r>
      <w:r w:rsidR="007F13DF" w:rsidRPr="00D903F8">
        <w:t xml:space="preserve"> following</w:t>
      </w:r>
      <w:r w:rsidRPr="00D903F8">
        <w:t xml:space="preserve"> </w:t>
      </w:r>
      <w:r w:rsidR="007C4235" w:rsidRPr="00591E25">
        <w:t>health claims about</w:t>
      </w:r>
      <w:r w:rsidR="007C4235" w:rsidRPr="007C4235" w:rsidDel="007C4235">
        <w:t xml:space="preserve"> </w:t>
      </w:r>
      <w:r w:rsidR="00F30226" w:rsidRPr="00D903F8">
        <w:t xml:space="preserve">electrolyte drinks </w:t>
      </w:r>
      <w:r w:rsidR="00954B9E" w:rsidRPr="00D903F8">
        <w:t xml:space="preserve">to </w:t>
      </w:r>
      <w:r w:rsidR="007C4235">
        <w:t>be made</w:t>
      </w:r>
      <w:r w:rsidRPr="00D903F8">
        <w:t>:</w:t>
      </w:r>
    </w:p>
    <w:p w14:paraId="5C8BF2CF" w14:textId="39A547C2" w:rsidR="001170DD" w:rsidRDefault="001170DD">
      <w:pPr>
        <w:pStyle w:val="ListParagraph"/>
        <w:keepLines/>
        <w:pBdr>
          <w:top w:val="single" w:sz="4" w:space="1" w:color="auto"/>
          <w:left w:val="single" w:sz="4" w:space="4" w:color="auto"/>
          <w:bottom w:val="single" w:sz="4" w:space="1" w:color="auto"/>
          <w:right w:val="single" w:sz="4" w:space="4" w:color="auto"/>
        </w:pBdr>
        <w:spacing w:before="120" w:after="120"/>
        <w:ind w:left="510"/>
        <w:rPr>
          <w:rFonts w:cs="Arial"/>
          <w:i/>
        </w:rPr>
      </w:pPr>
      <w:r>
        <w:rPr>
          <w:rFonts w:cs="Arial"/>
          <w:i/>
        </w:rPr>
        <w:t>R</w:t>
      </w:r>
      <w:r w:rsidRPr="001170DD">
        <w:rPr>
          <w:rFonts w:cs="Arial"/>
          <w:i/>
        </w:rPr>
        <w:t>apid rehydration in association with words to the effect of ‘after at least 60 minutes or more of strenuous physical activity</w:t>
      </w:r>
      <w:r w:rsidR="00E371D8">
        <w:rPr>
          <w:rFonts w:cs="Arial"/>
          <w:i/>
        </w:rPr>
        <w:t>’</w:t>
      </w:r>
      <w:r>
        <w:rPr>
          <w:rFonts w:cs="Arial"/>
          <w:i/>
        </w:rPr>
        <w:t>.</w:t>
      </w:r>
    </w:p>
    <w:p w14:paraId="5B5C97FB" w14:textId="04939408" w:rsidR="001170DD" w:rsidRDefault="001170DD">
      <w:pPr>
        <w:pStyle w:val="ListParagraph"/>
        <w:keepLines/>
        <w:pBdr>
          <w:top w:val="single" w:sz="4" w:space="1" w:color="auto"/>
          <w:left w:val="single" w:sz="4" w:space="4" w:color="auto"/>
          <w:bottom w:val="single" w:sz="4" w:space="1" w:color="auto"/>
          <w:right w:val="single" w:sz="4" w:space="4" w:color="auto"/>
        </w:pBdr>
        <w:spacing w:before="120" w:after="120"/>
        <w:ind w:left="510"/>
        <w:rPr>
          <w:rFonts w:cs="Arial"/>
          <w:i/>
        </w:rPr>
      </w:pPr>
    </w:p>
    <w:p w14:paraId="23ABA624" w14:textId="515BC07D" w:rsidR="001170DD" w:rsidRDefault="001170DD">
      <w:pPr>
        <w:pStyle w:val="ListParagraph"/>
        <w:keepLines/>
        <w:pBdr>
          <w:top w:val="single" w:sz="4" w:space="1" w:color="auto"/>
          <w:left w:val="single" w:sz="4" w:space="4" w:color="auto"/>
          <w:bottom w:val="single" w:sz="4" w:space="1" w:color="auto"/>
          <w:right w:val="single" w:sz="4" w:space="4" w:color="auto"/>
        </w:pBdr>
        <w:spacing w:before="120" w:after="120"/>
        <w:ind w:left="510"/>
        <w:rPr>
          <w:rFonts w:cs="Arial"/>
          <w:i/>
        </w:rPr>
      </w:pPr>
      <w:r>
        <w:rPr>
          <w:rFonts w:cs="Arial"/>
          <w:i/>
        </w:rPr>
        <w:t>R</w:t>
      </w:r>
      <w:r w:rsidRPr="001170DD">
        <w:rPr>
          <w:rFonts w:cs="Arial"/>
          <w:i/>
        </w:rPr>
        <w:t>apid hydration in association with words to the effect of ‘during at least 60 minutes or more of strenuous physical activity</w:t>
      </w:r>
      <w:r w:rsidR="00E371D8">
        <w:rPr>
          <w:rFonts w:cs="Arial"/>
          <w:i/>
        </w:rPr>
        <w:t>’</w:t>
      </w:r>
      <w:r>
        <w:rPr>
          <w:rFonts w:cs="Arial"/>
          <w:i/>
        </w:rPr>
        <w:t>.</w:t>
      </w:r>
    </w:p>
    <w:p w14:paraId="5D8D30F8" w14:textId="3037478E" w:rsidR="001170DD" w:rsidRDefault="001170DD">
      <w:pPr>
        <w:pStyle w:val="ListParagraph"/>
        <w:keepLines/>
        <w:pBdr>
          <w:top w:val="single" w:sz="4" w:space="1" w:color="auto"/>
          <w:left w:val="single" w:sz="4" w:space="4" w:color="auto"/>
          <w:bottom w:val="single" w:sz="4" w:space="1" w:color="auto"/>
          <w:right w:val="single" w:sz="4" w:space="4" w:color="auto"/>
        </w:pBdr>
        <w:spacing w:before="120" w:after="120"/>
        <w:ind w:left="510"/>
        <w:rPr>
          <w:rFonts w:cs="Arial"/>
          <w:i/>
        </w:rPr>
      </w:pPr>
    </w:p>
    <w:p w14:paraId="53C0E648" w14:textId="4CC0393E" w:rsidR="001170DD" w:rsidRDefault="001170DD">
      <w:pPr>
        <w:pStyle w:val="ListParagraph"/>
        <w:keepLines/>
        <w:pBdr>
          <w:top w:val="single" w:sz="4" w:space="1" w:color="auto"/>
          <w:left w:val="single" w:sz="4" w:space="4" w:color="auto"/>
          <w:bottom w:val="single" w:sz="4" w:space="1" w:color="auto"/>
          <w:right w:val="single" w:sz="4" w:space="4" w:color="auto"/>
        </w:pBdr>
        <w:spacing w:before="120" w:after="120"/>
        <w:ind w:left="510"/>
        <w:rPr>
          <w:rFonts w:cs="Arial"/>
          <w:i/>
        </w:rPr>
      </w:pPr>
      <w:r>
        <w:rPr>
          <w:rFonts w:cs="Arial"/>
          <w:i/>
        </w:rPr>
        <w:lastRenderedPageBreak/>
        <w:t>C</w:t>
      </w:r>
      <w:r w:rsidRPr="001170DD">
        <w:rPr>
          <w:rFonts w:cs="Arial"/>
          <w:i/>
        </w:rPr>
        <w:t>ontribution to the maintenance of performance by rapid hydration in association with words to the effect of ‘during at least 60 minutes or more of strenuous physical activity</w:t>
      </w:r>
      <w:r w:rsidR="00E371D8">
        <w:rPr>
          <w:rFonts w:cs="Arial"/>
          <w:i/>
        </w:rPr>
        <w:t>’</w:t>
      </w:r>
      <w:r>
        <w:rPr>
          <w:rFonts w:cs="Arial"/>
          <w:i/>
        </w:rPr>
        <w:t xml:space="preserve">. </w:t>
      </w:r>
    </w:p>
    <w:p w14:paraId="2706B7CF" w14:textId="5AA2C011" w:rsidR="005D2505" w:rsidRPr="005361C8" w:rsidRDefault="005D2505" w:rsidP="006656D4">
      <w:pPr>
        <w:pStyle w:val="Heading4"/>
      </w:pPr>
      <w:r w:rsidRPr="005361C8">
        <w:t>C</w:t>
      </w:r>
      <w:r w:rsidR="005361C8" w:rsidRPr="005361C8">
        <w:t>laim con</w:t>
      </w:r>
      <w:r w:rsidRPr="005361C8">
        <w:t xml:space="preserve">dition </w:t>
      </w:r>
      <w:r w:rsidR="00722388">
        <w:t>– what the claim is about</w:t>
      </w:r>
    </w:p>
    <w:p w14:paraId="118AD630" w14:textId="17AE0033" w:rsidR="009B2D12" w:rsidRDefault="00394BAC" w:rsidP="00965DE2">
      <w:pPr>
        <w:widowControl/>
        <w:spacing w:before="120" w:after="120"/>
      </w:pPr>
      <w:r>
        <w:t xml:space="preserve">Certain conditions for use of these </w:t>
      </w:r>
      <w:r w:rsidR="00A77128">
        <w:t xml:space="preserve">health </w:t>
      </w:r>
      <w:r>
        <w:t xml:space="preserve">claims </w:t>
      </w:r>
      <w:r w:rsidR="001744CA">
        <w:t xml:space="preserve">would </w:t>
      </w:r>
      <w:r>
        <w:t xml:space="preserve">apply. </w:t>
      </w:r>
    </w:p>
    <w:p w14:paraId="6435147D" w14:textId="087F2A6A" w:rsidR="00394BAC" w:rsidRPr="00DC0F83" w:rsidRDefault="00B205C1" w:rsidP="00965DE2">
      <w:pPr>
        <w:widowControl/>
        <w:spacing w:before="120" w:after="120"/>
      </w:pPr>
      <w:r w:rsidRPr="00DC0F83">
        <w:t xml:space="preserve">Claims would be permitted </w:t>
      </w:r>
      <w:r w:rsidR="003B36D8" w:rsidRPr="00DC0F83">
        <w:t xml:space="preserve">only </w:t>
      </w:r>
      <w:r w:rsidRPr="00DC0F83">
        <w:t xml:space="preserve">about the three health effects listed above, i.e. rapid rehydration, rapid hydration, or contribution to the maintenance of performance by rapid hydration. The maintenance of performance is </w:t>
      </w:r>
      <w:r w:rsidR="00E84DE0" w:rsidRPr="00DC0F83">
        <w:t xml:space="preserve">expressed </w:t>
      </w:r>
      <w:r w:rsidRPr="00DC0F83">
        <w:t xml:space="preserve">in the context of rapid hydration </w:t>
      </w:r>
      <w:r w:rsidR="008840AD" w:rsidRPr="00DC0F83">
        <w:t>consistent with</w:t>
      </w:r>
      <w:r w:rsidR="003B36D8" w:rsidRPr="00DC0F83">
        <w:t xml:space="preserve"> </w:t>
      </w:r>
      <w:r w:rsidR="0083268A" w:rsidRPr="00DC0F83">
        <w:t xml:space="preserve">the </w:t>
      </w:r>
      <w:r w:rsidR="003B36D8" w:rsidRPr="00DC0F83">
        <w:t xml:space="preserve">assessment of </w:t>
      </w:r>
      <w:r w:rsidR="008840AD" w:rsidRPr="00DC0F83">
        <w:t>FSANZ (</w:t>
      </w:r>
      <w:r w:rsidR="00E809B6" w:rsidRPr="00DC0F83">
        <w:t>S</w:t>
      </w:r>
      <w:r w:rsidR="008840AD" w:rsidRPr="00DC0F83">
        <w:t xml:space="preserve">D1) and </w:t>
      </w:r>
      <w:r w:rsidR="00E809B6" w:rsidRPr="00DC0F83">
        <w:t xml:space="preserve">the </w:t>
      </w:r>
      <w:r w:rsidR="003B36D8" w:rsidRPr="00DC0F83">
        <w:t xml:space="preserve">EU (Appendix 1). </w:t>
      </w:r>
    </w:p>
    <w:p w14:paraId="6DE5D134" w14:textId="67D9FC63" w:rsidR="00E70479" w:rsidRPr="00B94AA4" w:rsidRDefault="0095200F">
      <w:pPr>
        <w:widowControl/>
        <w:spacing w:before="120" w:after="120"/>
      </w:pPr>
      <w:r w:rsidRPr="0095200F">
        <w:t xml:space="preserve">FSANZ considers it important that all such claims </w:t>
      </w:r>
      <w:r>
        <w:t xml:space="preserve">indicate that </w:t>
      </w:r>
      <w:r w:rsidR="0093454A">
        <w:t>it</w:t>
      </w:r>
      <w:r>
        <w:t xml:space="preserve"> is </w:t>
      </w:r>
      <w:r w:rsidR="00155DCC">
        <w:t>relevant only to individuals undertaking</w:t>
      </w:r>
      <w:r w:rsidRPr="0095200F">
        <w:t xml:space="preserve"> strenuous physical activity</w:t>
      </w:r>
      <w:r w:rsidR="00155DCC">
        <w:t xml:space="preserve"> for a time period of</w:t>
      </w:r>
      <w:r w:rsidRPr="0095200F">
        <w:t xml:space="preserve"> at least 60 minutes</w:t>
      </w:r>
      <w:r w:rsidR="00155DCC">
        <w:t xml:space="preserve">. </w:t>
      </w:r>
      <w:r w:rsidRPr="0095200F">
        <w:t>This is as much to identify the non-target group as to identify the target group.</w:t>
      </w:r>
      <w:r w:rsidR="00155DCC">
        <w:t xml:space="preserve"> </w:t>
      </w:r>
      <w:r w:rsidR="00FE2A84">
        <w:t>Similar to Standard 1.2.7, the wording of the c</w:t>
      </w:r>
      <w:r w:rsidRPr="0095200F">
        <w:t>laims based on th</w:t>
      </w:r>
      <w:r w:rsidR="00155DCC">
        <w:t>e</w:t>
      </w:r>
      <w:r w:rsidRPr="0095200F">
        <w:t xml:space="preserve"> </w:t>
      </w:r>
      <w:r w:rsidR="00AF6503">
        <w:t>amended</w:t>
      </w:r>
      <w:r w:rsidR="00AF6503" w:rsidRPr="0095200F">
        <w:t xml:space="preserve"> </w:t>
      </w:r>
      <w:r w:rsidRPr="0095200F">
        <w:t xml:space="preserve">permission </w:t>
      </w:r>
      <w:r w:rsidR="00FE2A84">
        <w:t>is not prescribed</w:t>
      </w:r>
      <w:r w:rsidR="0029454A">
        <w:t>,</w:t>
      </w:r>
      <w:r w:rsidR="007A4CFF">
        <w:t xml:space="preserve"> </w:t>
      </w:r>
      <w:r w:rsidR="00B8737A">
        <w:t>however</w:t>
      </w:r>
      <w:r w:rsidR="00FE2A84">
        <w:t xml:space="preserve"> t</w:t>
      </w:r>
      <w:r w:rsidRPr="0095200F">
        <w:t xml:space="preserve">he time period of </w:t>
      </w:r>
      <w:r w:rsidR="00155DCC">
        <w:t>‘</w:t>
      </w:r>
      <w:r w:rsidRPr="0095200F">
        <w:t>60 minutes</w:t>
      </w:r>
      <w:r w:rsidR="00155DCC">
        <w:t xml:space="preserve"> or more’</w:t>
      </w:r>
      <w:r w:rsidRPr="0095200F">
        <w:t xml:space="preserve"> must be expressed as a quantifiable amount of time, for example, 60 minutes or one hour.  </w:t>
      </w:r>
    </w:p>
    <w:p w14:paraId="6F65E14E" w14:textId="0DA6ACB4" w:rsidR="006A60D1" w:rsidRPr="005361C8" w:rsidRDefault="00722388" w:rsidP="006656D4">
      <w:pPr>
        <w:pStyle w:val="Heading4"/>
      </w:pPr>
      <w:r>
        <w:t>Claim condition</w:t>
      </w:r>
      <w:r w:rsidR="0029454A">
        <w:t xml:space="preserve"> – </w:t>
      </w:r>
      <w:r>
        <w:t>o</w:t>
      </w:r>
      <w:r w:rsidRPr="005361C8">
        <w:t xml:space="preserve">smolality </w:t>
      </w:r>
      <w:r w:rsidR="006A60D1" w:rsidRPr="005361C8">
        <w:t xml:space="preserve">units and range </w:t>
      </w:r>
    </w:p>
    <w:p w14:paraId="7F96B74E" w14:textId="03AFACC8" w:rsidR="003F2C68" w:rsidRDefault="003F2C68" w:rsidP="003F2C68">
      <w:pPr>
        <w:widowControl/>
        <w:spacing w:before="120" w:after="120"/>
      </w:pPr>
      <w:r>
        <w:t>The claim</w:t>
      </w:r>
      <w:r w:rsidR="00FE2A84">
        <w:t xml:space="preserve"> permission</w:t>
      </w:r>
      <w:r>
        <w:t xml:space="preserve"> continue</w:t>
      </w:r>
      <w:r w:rsidR="00FE2A84">
        <w:t>s</w:t>
      </w:r>
      <w:r w:rsidR="005E08EF">
        <w:t xml:space="preserve"> to have </w:t>
      </w:r>
      <w:r>
        <w:t>a prescribed osmolality range</w:t>
      </w:r>
      <w:r w:rsidR="005E08EF">
        <w:t xml:space="preserve"> as a condition of use</w:t>
      </w:r>
      <w:r>
        <w:t>.</w:t>
      </w:r>
    </w:p>
    <w:p w14:paraId="43E2F0ED" w14:textId="77777777" w:rsidR="00C65327" w:rsidRDefault="00C65327" w:rsidP="00D94A0D">
      <w:pPr>
        <w:widowControl/>
        <w:spacing w:before="120" w:after="120"/>
      </w:pPr>
      <w:r>
        <w:t>FSANZ acknowledges the units for osmolality are technically /kg and not /L so it is proposed to amend the units to /kg for all compositional requirements.</w:t>
      </w:r>
    </w:p>
    <w:p w14:paraId="4E5B2657" w14:textId="423D6AEC" w:rsidR="00975FF8" w:rsidRDefault="005361C8" w:rsidP="00424BD1">
      <w:pPr>
        <w:widowControl/>
        <w:spacing w:before="120" w:after="120"/>
        <w:rPr>
          <w:rFonts w:cs="Arial"/>
          <w:szCs w:val="20"/>
          <w:lang w:eastAsia="en-GB" w:bidi="ar-SA"/>
        </w:rPr>
      </w:pPr>
      <w:r>
        <w:t xml:space="preserve">With the </w:t>
      </w:r>
      <w:r w:rsidR="00670293" w:rsidRPr="005361C8">
        <w:t xml:space="preserve">proposed </w:t>
      </w:r>
      <w:r w:rsidR="00B54EF7">
        <w:t xml:space="preserve">reduction </w:t>
      </w:r>
      <w:r w:rsidR="00B54EF7" w:rsidRPr="005361C8">
        <w:t xml:space="preserve">of </w:t>
      </w:r>
      <w:r w:rsidR="00597F38">
        <w:t xml:space="preserve">minimum </w:t>
      </w:r>
      <w:r w:rsidR="0052629D">
        <w:t>carbohydrate</w:t>
      </w:r>
      <w:r w:rsidR="00B54EF7">
        <w:t xml:space="preserve"> for</w:t>
      </w:r>
      <w:r w:rsidR="006A60D1" w:rsidRPr="005361C8">
        <w:t xml:space="preserve"> </w:t>
      </w:r>
      <w:r w:rsidR="001221D2">
        <w:t>electrolyte drink</w:t>
      </w:r>
      <w:r w:rsidR="00B54EF7">
        <w:t>s</w:t>
      </w:r>
      <w:r>
        <w:t>,</w:t>
      </w:r>
      <w:r w:rsidR="006A60D1" w:rsidRPr="005361C8">
        <w:t xml:space="preserve"> the </w:t>
      </w:r>
      <w:r w:rsidR="00E8046B">
        <w:t xml:space="preserve">lower bound of the </w:t>
      </w:r>
      <w:r w:rsidR="006A60D1" w:rsidRPr="005361C8">
        <w:t xml:space="preserve">average </w:t>
      </w:r>
      <w:r w:rsidR="00C65327">
        <w:t xml:space="preserve">osmolality </w:t>
      </w:r>
      <w:r w:rsidR="006A60D1" w:rsidRPr="005361C8">
        <w:t xml:space="preserve">range </w:t>
      </w:r>
      <w:r w:rsidR="00F07122">
        <w:t xml:space="preserve">for permitted claims </w:t>
      </w:r>
      <w:r w:rsidR="00B54EF7">
        <w:t xml:space="preserve">also </w:t>
      </w:r>
      <w:r w:rsidR="00370497">
        <w:t>need</w:t>
      </w:r>
      <w:r w:rsidR="00B54EF7">
        <w:t>s</w:t>
      </w:r>
      <w:r w:rsidR="00370497">
        <w:t xml:space="preserve"> to be </w:t>
      </w:r>
      <w:r w:rsidR="00D94A0D">
        <w:t>reduced</w:t>
      </w:r>
      <w:r w:rsidR="00975FF8">
        <w:t xml:space="preserve"> to permit hyp</w:t>
      </w:r>
      <w:r w:rsidR="00155DCC">
        <w:t>o</w:t>
      </w:r>
      <w:r w:rsidR="00975FF8">
        <w:t>tonic and isotonic</w:t>
      </w:r>
      <w:r w:rsidR="00F30226">
        <w:t xml:space="preserve"> electrolyte drinks </w:t>
      </w:r>
      <w:r w:rsidR="00975FF8">
        <w:t>to carry</w:t>
      </w:r>
      <w:r w:rsidR="00B8737A">
        <w:t xml:space="preserve"> the</w:t>
      </w:r>
      <w:r w:rsidR="00975FF8">
        <w:t xml:space="preserve"> </w:t>
      </w:r>
      <w:r w:rsidR="00FE2A84">
        <w:t xml:space="preserve">permitted </w:t>
      </w:r>
      <w:r w:rsidR="00975FF8">
        <w:t>health claims</w:t>
      </w:r>
      <w:r w:rsidR="006A60D1" w:rsidRPr="005361C8">
        <w:t xml:space="preserve">. </w:t>
      </w:r>
      <w:r w:rsidR="00F07122" w:rsidRPr="005361C8">
        <w:t xml:space="preserve">The osmolality range </w:t>
      </w:r>
      <w:r w:rsidR="00F07122">
        <w:t xml:space="preserve">for the two </w:t>
      </w:r>
      <w:r w:rsidR="00F07122" w:rsidRPr="005361C8">
        <w:t xml:space="preserve">EU </w:t>
      </w:r>
      <w:r w:rsidR="00F07122">
        <w:t xml:space="preserve">claims </w:t>
      </w:r>
      <w:r w:rsidR="00F07122" w:rsidRPr="005361C8">
        <w:t xml:space="preserve">is </w:t>
      </w:r>
      <w:r w:rsidR="00F07122" w:rsidRPr="005361C8">
        <w:rPr>
          <w:rFonts w:cs="Arial"/>
          <w:szCs w:val="20"/>
          <w:lang w:eastAsia="en-GB" w:bidi="ar-SA"/>
        </w:rPr>
        <w:t xml:space="preserve">200–330 mOsm/kg water, the lower bound of which corresponds to a minimum </w:t>
      </w:r>
      <w:r w:rsidR="0052629D">
        <w:rPr>
          <w:rFonts w:cs="Arial"/>
          <w:szCs w:val="20"/>
          <w:lang w:eastAsia="en-GB" w:bidi="ar-SA"/>
        </w:rPr>
        <w:t>carbohydrate</w:t>
      </w:r>
      <w:r w:rsidR="00F07122" w:rsidRPr="005361C8">
        <w:rPr>
          <w:rFonts w:cs="Arial"/>
          <w:szCs w:val="20"/>
          <w:lang w:eastAsia="en-GB" w:bidi="ar-SA"/>
        </w:rPr>
        <w:t xml:space="preserve"> of </w:t>
      </w:r>
      <w:r w:rsidR="00F07122">
        <w:rPr>
          <w:rFonts w:cs="Arial"/>
          <w:szCs w:val="20"/>
          <w:lang w:eastAsia="en-GB" w:bidi="ar-SA"/>
        </w:rPr>
        <w:t>~</w:t>
      </w:r>
      <w:r w:rsidR="00F07122" w:rsidRPr="005361C8">
        <w:rPr>
          <w:rFonts w:cs="Arial"/>
          <w:szCs w:val="20"/>
          <w:lang w:eastAsia="en-GB" w:bidi="ar-SA"/>
        </w:rPr>
        <w:t>20 g/L</w:t>
      </w:r>
      <w:r w:rsidR="00F07122">
        <w:rPr>
          <w:rFonts w:cs="Arial"/>
          <w:szCs w:val="20"/>
          <w:lang w:eastAsia="en-GB" w:bidi="ar-SA"/>
        </w:rPr>
        <w:t>.</w:t>
      </w:r>
      <w:r w:rsidR="00D94A0D">
        <w:rPr>
          <w:rFonts w:cs="Arial"/>
          <w:szCs w:val="20"/>
          <w:lang w:eastAsia="en-GB" w:bidi="ar-SA"/>
        </w:rPr>
        <w:t xml:space="preserve"> </w:t>
      </w:r>
      <w:r w:rsidR="00C65327">
        <w:rPr>
          <w:rFonts w:cs="Arial"/>
          <w:szCs w:val="20"/>
          <w:lang w:eastAsia="en-GB" w:bidi="ar-SA"/>
        </w:rPr>
        <w:t xml:space="preserve">Therefore the lower </w:t>
      </w:r>
      <w:r w:rsidR="00975FF8">
        <w:t xml:space="preserve">osmolality </w:t>
      </w:r>
      <w:r w:rsidR="00C65327">
        <w:rPr>
          <w:rFonts w:cs="Arial"/>
          <w:szCs w:val="20"/>
          <w:lang w:eastAsia="en-GB" w:bidi="ar-SA"/>
        </w:rPr>
        <w:t xml:space="preserve">bound </w:t>
      </w:r>
      <w:r w:rsidR="00DA2C0C">
        <w:rPr>
          <w:rFonts w:cs="Arial"/>
          <w:szCs w:val="20"/>
          <w:lang w:eastAsia="en-GB" w:bidi="ar-SA"/>
        </w:rPr>
        <w:t>would</w:t>
      </w:r>
      <w:r w:rsidR="00C65327">
        <w:rPr>
          <w:rFonts w:cs="Arial"/>
          <w:szCs w:val="20"/>
          <w:lang w:eastAsia="en-GB" w:bidi="ar-SA"/>
        </w:rPr>
        <w:t xml:space="preserve"> be reduced to 200 mOsm/kg</w:t>
      </w:r>
      <w:r w:rsidR="00975FF8">
        <w:rPr>
          <w:rFonts w:cs="Arial"/>
          <w:szCs w:val="20"/>
          <w:lang w:eastAsia="en-GB" w:bidi="ar-SA"/>
        </w:rPr>
        <w:t xml:space="preserve"> while r</w:t>
      </w:r>
      <w:r w:rsidR="00D94A0D">
        <w:rPr>
          <w:rFonts w:cs="Arial"/>
        </w:rPr>
        <w:t>etain</w:t>
      </w:r>
      <w:r w:rsidR="00975FF8">
        <w:rPr>
          <w:rFonts w:cs="Arial"/>
        </w:rPr>
        <w:t>ing</w:t>
      </w:r>
      <w:r w:rsidR="00D94A0D" w:rsidRPr="007C0B66">
        <w:rPr>
          <w:rFonts w:cs="Arial"/>
        </w:rPr>
        <w:t xml:space="preserve"> t</w:t>
      </w:r>
      <w:r w:rsidR="00D94A0D" w:rsidRPr="007C0B66">
        <w:rPr>
          <w:rFonts w:cs="Arial"/>
          <w:szCs w:val="20"/>
          <w:lang w:eastAsia="en-GB"/>
        </w:rPr>
        <w:t>he maximum osmolality</w:t>
      </w:r>
      <w:r w:rsidR="00D94A0D">
        <w:rPr>
          <w:rFonts w:cs="Arial"/>
          <w:szCs w:val="20"/>
          <w:lang w:eastAsia="en-GB"/>
        </w:rPr>
        <w:t xml:space="preserve"> for</w:t>
      </w:r>
      <w:r w:rsidR="00D94A0D" w:rsidRPr="007C0B66">
        <w:rPr>
          <w:rFonts w:cs="Arial"/>
        </w:rPr>
        <w:t xml:space="preserve"> </w:t>
      </w:r>
      <w:r w:rsidR="00D94A0D" w:rsidRPr="007C0B66">
        <w:rPr>
          <w:rFonts w:cs="Arial"/>
          <w:szCs w:val="20"/>
          <w:lang w:eastAsia="en-GB"/>
        </w:rPr>
        <w:t>isotonic</w:t>
      </w:r>
      <w:r w:rsidR="00F30226">
        <w:rPr>
          <w:rFonts w:cs="Arial"/>
          <w:szCs w:val="20"/>
          <w:lang w:eastAsia="en-GB"/>
        </w:rPr>
        <w:t xml:space="preserve"> electrolyte drinks </w:t>
      </w:r>
      <w:r w:rsidR="00C65327">
        <w:rPr>
          <w:rFonts w:cs="Arial"/>
          <w:szCs w:val="20"/>
        </w:rPr>
        <w:t xml:space="preserve">of </w:t>
      </w:r>
      <w:r w:rsidR="00C65327" w:rsidRPr="00E8046B">
        <w:rPr>
          <w:rFonts w:cs="Arial"/>
          <w:szCs w:val="20"/>
        </w:rPr>
        <w:t>340 mOsm/kg</w:t>
      </w:r>
      <w:r w:rsidR="00D94A0D">
        <w:rPr>
          <w:rFonts w:cs="Arial"/>
          <w:szCs w:val="20"/>
          <w:lang w:eastAsia="en-GB"/>
        </w:rPr>
        <w:t>.</w:t>
      </w:r>
      <w:r w:rsidR="00D94A0D" w:rsidRPr="007C0B66">
        <w:rPr>
          <w:rFonts w:cs="Arial"/>
        </w:rPr>
        <w:t xml:space="preserve"> </w:t>
      </w:r>
      <w:r w:rsidR="00C65327">
        <w:t>T</w:t>
      </w:r>
      <w:r w:rsidR="008A723F">
        <w:t xml:space="preserve">he </w:t>
      </w:r>
      <w:r w:rsidR="007C0B66">
        <w:rPr>
          <w:rFonts w:cs="Arial"/>
          <w:szCs w:val="20"/>
          <w:lang w:eastAsia="en-GB" w:bidi="ar-SA"/>
        </w:rPr>
        <w:t>osmolality</w:t>
      </w:r>
      <w:r w:rsidR="007C0B66">
        <w:t xml:space="preserve"> range </w:t>
      </w:r>
      <w:r w:rsidR="00155DCC">
        <w:t>of an</w:t>
      </w:r>
      <w:r w:rsidR="00F30226">
        <w:t xml:space="preserve"> electrolyte drink </w:t>
      </w:r>
      <w:r w:rsidR="00155DCC">
        <w:t xml:space="preserve">permitted to have health claims </w:t>
      </w:r>
      <w:r w:rsidR="00597F38">
        <w:t xml:space="preserve">is </w:t>
      </w:r>
      <w:r w:rsidR="00C65327">
        <w:t xml:space="preserve">thus </w:t>
      </w:r>
      <w:r w:rsidR="00F07122">
        <w:t xml:space="preserve">expanded </w:t>
      </w:r>
      <w:r w:rsidR="00597F38">
        <w:t>to</w:t>
      </w:r>
      <w:r w:rsidR="00C65327">
        <w:t xml:space="preserve"> </w:t>
      </w:r>
      <w:r w:rsidR="00C65327" w:rsidRPr="005361C8">
        <w:rPr>
          <w:rFonts w:cs="Arial"/>
          <w:szCs w:val="20"/>
          <w:lang w:eastAsia="en-GB" w:bidi="ar-SA"/>
        </w:rPr>
        <w:t>200–3</w:t>
      </w:r>
      <w:r w:rsidR="00C65327">
        <w:rPr>
          <w:rFonts w:cs="Arial"/>
          <w:szCs w:val="20"/>
          <w:lang w:eastAsia="en-GB" w:bidi="ar-SA"/>
        </w:rPr>
        <w:t>4</w:t>
      </w:r>
      <w:r w:rsidR="00C65327" w:rsidRPr="005361C8">
        <w:rPr>
          <w:rFonts w:cs="Arial"/>
          <w:szCs w:val="20"/>
          <w:lang w:eastAsia="en-GB" w:bidi="ar-SA"/>
        </w:rPr>
        <w:t>0 mOsm/kg</w:t>
      </w:r>
      <w:r w:rsidR="00975FF8">
        <w:rPr>
          <w:rFonts w:cs="Arial"/>
          <w:szCs w:val="20"/>
          <w:lang w:eastAsia="en-GB" w:bidi="ar-SA"/>
        </w:rPr>
        <w:t>.</w:t>
      </w:r>
    </w:p>
    <w:p w14:paraId="634818C4" w14:textId="1FBF16A4" w:rsidR="00AB5913" w:rsidRDefault="00AB5913" w:rsidP="00424BD1">
      <w:pPr>
        <w:widowControl/>
        <w:spacing w:before="120" w:after="120"/>
      </w:pPr>
      <w:r>
        <w:t xml:space="preserve">Table 3 </w:t>
      </w:r>
      <w:r w:rsidR="00370497">
        <w:t>compares</w:t>
      </w:r>
      <w:r>
        <w:t xml:space="preserve"> the proposed </w:t>
      </w:r>
      <w:r w:rsidR="00CD19C9">
        <w:t xml:space="preserve">amended </w:t>
      </w:r>
      <w:r w:rsidR="00FE2A84">
        <w:t>claim permission</w:t>
      </w:r>
      <w:r>
        <w:t xml:space="preserve"> </w:t>
      </w:r>
      <w:r w:rsidR="007A4CFF">
        <w:t>and</w:t>
      </w:r>
      <w:r w:rsidR="00F30226">
        <w:t xml:space="preserve"> electrolyte drink </w:t>
      </w:r>
      <w:r w:rsidR="007A4CFF">
        <w:t xml:space="preserve">compositional requirements with </w:t>
      </w:r>
      <w:r>
        <w:t xml:space="preserve">the two EU </w:t>
      </w:r>
      <w:r w:rsidR="00234388">
        <w:t xml:space="preserve">authorised </w:t>
      </w:r>
      <w:r>
        <w:t>health claims</w:t>
      </w:r>
      <w:r w:rsidR="007A4CFF">
        <w:t>,</w:t>
      </w:r>
      <w:r>
        <w:t xml:space="preserve"> </w:t>
      </w:r>
      <w:r w:rsidR="00CA44F8">
        <w:t>indicating</w:t>
      </w:r>
      <w:r>
        <w:t xml:space="preserve"> the similarity</w:t>
      </w:r>
      <w:r w:rsidR="00104DBC">
        <w:t xml:space="preserve"> of the wording and conditions</w:t>
      </w:r>
      <w:r>
        <w:t xml:space="preserve">. </w:t>
      </w:r>
    </w:p>
    <w:p w14:paraId="535C0299" w14:textId="4FA29575" w:rsidR="00AB5913" w:rsidRPr="00911344" w:rsidRDefault="00AB5913" w:rsidP="00424BD1">
      <w:pPr>
        <w:widowControl/>
        <w:spacing w:before="120" w:after="120"/>
        <w:rPr>
          <w:b/>
          <w:sz w:val="20"/>
        </w:rPr>
      </w:pPr>
      <w:r w:rsidRPr="00911344">
        <w:rPr>
          <w:b/>
          <w:sz w:val="20"/>
        </w:rPr>
        <w:t xml:space="preserve">Table </w:t>
      </w:r>
      <w:r w:rsidR="00D355C5">
        <w:rPr>
          <w:b/>
          <w:sz w:val="20"/>
        </w:rPr>
        <w:t>3</w:t>
      </w:r>
      <w:r>
        <w:rPr>
          <w:b/>
          <w:sz w:val="20"/>
        </w:rPr>
        <w:t>:</w:t>
      </w:r>
      <w:r w:rsidRPr="00911344">
        <w:rPr>
          <w:b/>
          <w:sz w:val="20"/>
        </w:rPr>
        <w:t xml:space="preserve"> Comparison of proposed </w:t>
      </w:r>
      <w:r>
        <w:rPr>
          <w:b/>
          <w:sz w:val="20"/>
        </w:rPr>
        <w:t>revised</w:t>
      </w:r>
      <w:r w:rsidR="00CA44F8">
        <w:rPr>
          <w:b/>
          <w:sz w:val="20"/>
        </w:rPr>
        <w:t xml:space="preserve"> permitted</w:t>
      </w:r>
      <w:r>
        <w:rPr>
          <w:b/>
          <w:sz w:val="20"/>
        </w:rPr>
        <w:t xml:space="preserve"> </w:t>
      </w:r>
      <w:r w:rsidRPr="00911344">
        <w:rPr>
          <w:b/>
          <w:sz w:val="20"/>
        </w:rPr>
        <w:t>claim with EU claims</w:t>
      </w:r>
    </w:p>
    <w:tbl>
      <w:tblPr>
        <w:tblStyle w:val="TableGrid"/>
        <w:tblW w:w="5000" w:type="pct"/>
        <w:tblLook w:val="04A0" w:firstRow="1" w:lastRow="0" w:firstColumn="1" w:lastColumn="0" w:noHBand="0" w:noVBand="1"/>
      </w:tblPr>
      <w:tblGrid>
        <w:gridCol w:w="2263"/>
        <w:gridCol w:w="3778"/>
        <w:gridCol w:w="3019"/>
      </w:tblGrid>
      <w:tr w:rsidR="00AB5913" w:rsidRPr="00DF7A3B" w14:paraId="1DA084CB" w14:textId="77777777" w:rsidTr="008216CE">
        <w:trPr>
          <w:tblHeader/>
        </w:trPr>
        <w:tc>
          <w:tcPr>
            <w:tcW w:w="1249" w:type="pct"/>
          </w:tcPr>
          <w:p w14:paraId="26EA8C10" w14:textId="77777777" w:rsidR="00AB5913" w:rsidRPr="00DF7A3B" w:rsidRDefault="00AB5913" w:rsidP="00424BD1">
            <w:pPr>
              <w:widowControl/>
              <w:spacing w:before="120" w:after="120"/>
              <w:rPr>
                <w:b/>
                <w:sz w:val="20"/>
                <w:szCs w:val="20"/>
              </w:rPr>
            </w:pPr>
            <w:r w:rsidRPr="00DF7A3B">
              <w:rPr>
                <w:b/>
                <w:sz w:val="20"/>
                <w:szCs w:val="20"/>
              </w:rPr>
              <w:t>Element</w:t>
            </w:r>
          </w:p>
        </w:tc>
        <w:tc>
          <w:tcPr>
            <w:tcW w:w="2085" w:type="pct"/>
          </w:tcPr>
          <w:p w14:paraId="0F0BFB96" w14:textId="4DDA1F9C" w:rsidR="00AB5913" w:rsidRPr="00DF7A3B" w:rsidRDefault="00AB5913" w:rsidP="00073CB6">
            <w:pPr>
              <w:widowControl/>
              <w:spacing w:before="120" w:after="120"/>
              <w:rPr>
                <w:b/>
                <w:sz w:val="20"/>
                <w:szCs w:val="20"/>
              </w:rPr>
            </w:pPr>
            <w:r>
              <w:rPr>
                <w:b/>
                <w:sz w:val="20"/>
                <w:szCs w:val="20"/>
              </w:rPr>
              <w:t xml:space="preserve">Proposed revisions </w:t>
            </w:r>
            <w:r w:rsidR="00CA44F8">
              <w:rPr>
                <w:b/>
                <w:sz w:val="20"/>
                <w:szCs w:val="20"/>
              </w:rPr>
              <w:t>to</w:t>
            </w:r>
            <w:r w:rsidR="00F30226">
              <w:rPr>
                <w:b/>
                <w:sz w:val="20"/>
                <w:szCs w:val="20"/>
              </w:rPr>
              <w:t xml:space="preserve"> electrolyte drinks </w:t>
            </w:r>
          </w:p>
        </w:tc>
        <w:tc>
          <w:tcPr>
            <w:tcW w:w="1666" w:type="pct"/>
          </w:tcPr>
          <w:p w14:paraId="59BF5EB1" w14:textId="22E80967" w:rsidR="00AB5913" w:rsidRPr="00DF7A3B" w:rsidRDefault="00AB5913" w:rsidP="00424BD1">
            <w:pPr>
              <w:widowControl/>
              <w:spacing w:before="120" w:after="120"/>
              <w:rPr>
                <w:b/>
                <w:sz w:val="20"/>
                <w:szCs w:val="20"/>
              </w:rPr>
            </w:pPr>
            <w:r w:rsidRPr="00DF7A3B">
              <w:rPr>
                <w:b/>
                <w:sz w:val="20"/>
                <w:szCs w:val="20"/>
              </w:rPr>
              <w:t>EU</w:t>
            </w:r>
            <w:r>
              <w:rPr>
                <w:b/>
                <w:sz w:val="20"/>
                <w:szCs w:val="20"/>
              </w:rPr>
              <w:t xml:space="preserve"> health claim</w:t>
            </w:r>
            <w:r w:rsidR="00C42AE0">
              <w:rPr>
                <w:b/>
                <w:sz w:val="20"/>
                <w:szCs w:val="20"/>
              </w:rPr>
              <w:t>s</w:t>
            </w:r>
          </w:p>
        </w:tc>
      </w:tr>
      <w:tr w:rsidR="00AB5913" w:rsidRPr="00DF7A3B" w14:paraId="258B2973" w14:textId="77777777" w:rsidTr="005D2505">
        <w:tc>
          <w:tcPr>
            <w:tcW w:w="1249" w:type="pct"/>
          </w:tcPr>
          <w:p w14:paraId="32132714" w14:textId="77777777" w:rsidR="00AB5913" w:rsidRPr="00DF7A3B" w:rsidRDefault="00AB5913" w:rsidP="00424BD1">
            <w:pPr>
              <w:widowControl/>
              <w:spacing w:before="120" w:after="120"/>
              <w:rPr>
                <w:sz w:val="20"/>
                <w:szCs w:val="20"/>
              </w:rPr>
            </w:pPr>
            <w:r w:rsidRPr="00DF7A3B">
              <w:rPr>
                <w:sz w:val="20"/>
                <w:szCs w:val="20"/>
              </w:rPr>
              <w:t xml:space="preserve">Product category </w:t>
            </w:r>
          </w:p>
        </w:tc>
        <w:tc>
          <w:tcPr>
            <w:tcW w:w="2085" w:type="pct"/>
          </w:tcPr>
          <w:p w14:paraId="23CF011C" w14:textId="71D0BE6C" w:rsidR="00AB5913" w:rsidRPr="00DF7A3B" w:rsidRDefault="001F203D" w:rsidP="00424BD1">
            <w:pPr>
              <w:widowControl/>
              <w:spacing w:before="120" w:after="120"/>
              <w:rPr>
                <w:sz w:val="20"/>
                <w:szCs w:val="20"/>
              </w:rPr>
            </w:pPr>
            <w:r w:rsidRPr="00DF7A3B">
              <w:rPr>
                <w:sz w:val="20"/>
                <w:szCs w:val="20"/>
              </w:rPr>
              <w:t>electrolyte drinks</w:t>
            </w:r>
          </w:p>
        </w:tc>
        <w:tc>
          <w:tcPr>
            <w:tcW w:w="1666" w:type="pct"/>
          </w:tcPr>
          <w:p w14:paraId="576A56A7" w14:textId="408C51AB" w:rsidR="00AB5913" w:rsidRPr="00DF7A3B" w:rsidRDefault="001F203D" w:rsidP="00424BD1">
            <w:pPr>
              <w:widowControl/>
              <w:spacing w:before="120" w:after="120"/>
              <w:rPr>
                <w:sz w:val="20"/>
                <w:szCs w:val="20"/>
              </w:rPr>
            </w:pPr>
            <w:r w:rsidRPr="00DF7A3B">
              <w:rPr>
                <w:rFonts w:cs="Arial"/>
                <w:color w:val="000000"/>
                <w:sz w:val="20"/>
                <w:szCs w:val="20"/>
                <w:lang w:eastAsia="en-GB" w:bidi="ar-SA"/>
              </w:rPr>
              <w:t>carbohydrate-electrolyte solutions</w:t>
            </w:r>
          </w:p>
        </w:tc>
      </w:tr>
      <w:tr w:rsidR="00AB5913" w:rsidRPr="00DF7A3B" w14:paraId="492958B4" w14:textId="77777777" w:rsidTr="005D2505">
        <w:tc>
          <w:tcPr>
            <w:tcW w:w="1249" w:type="pct"/>
          </w:tcPr>
          <w:p w14:paraId="66C1E004" w14:textId="4813FF39" w:rsidR="00AB5913" w:rsidRPr="00DF7A3B" w:rsidRDefault="00AB5913" w:rsidP="00424BD1">
            <w:pPr>
              <w:widowControl/>
              <w:spacing w:before="120" w:after="120"/>
              <w:rPr>
                <w:sz w:val="20"/>
                <w:szCs w:val="20"/>
              </w:rPr>
            </w:pPr>
            <w:r w:rsidRPr="00DF7A3B">
              <w:rPr>
                <w:sz w:val="20"/>
                <w:szCs w:val="20"/>
              </w:rPr>
              <w:t>Claim</w:t>
            </w:r>
            <w:r>
              <w:rPr>
                <w:sz w:val="20"/>
                <w:szCs w:val="20"/>
              </w:rPr>
              <w:t xml:space="preserve"> </w:t>
            </w:r>
            <w:r w:rsidR="00CA44F8">
              <w:rPr>
                <w:sz w:val="20"/>
                <w:szCs w:val="20"/>
              </w:rPr>
              <w:t>–</w:t>
            </w:r>
            <w:r>
              <w:rPr>
                <w:sz w:val="20"/>
                <w:szCs w:val="20"/>
              </w:rPr>
              <w:t xml:space="preserve"> hydration</w:t>
            </w:r>
          </w:p>
        </w:tc>
        <w:tc>
          <w:tcPr>
            <w:tcW w:w="2085" w:type="pct"/>
          </w:tcPr>
          <w:p w14:paraId="36BBDEFB" w14:textId="66771B8F" w:rsidR="00AB5913" w:rsidRPr="00CA44F8" w:rsidRDefault="005D2505" w:rsidP="00424BD1">
            <w:pPr>
              <w:widowControl/>
              <w:spacing w:before="120" w:after="120"/>
              <w:rPr>
                <w:sz w:val="20"/>
                <w:szCs w:val="20"/>
              </w:rPr>
            </w:pPr>
            <w:r w:rsidRPr="00CA44F8">
              <w:rPr>
                <w:rFonts w:cs="Arial"/>
                <w:sz w:val="20"/>
                <w:szCs w:val="20"/>
              </w:rPr>
              <w:t>rapid</w:t>
            </w:r>
            <w:r w:rsidR="00CA44F8" w:rsidRPr="00CA44F8">
              <w:rPr>
                <w:rFonts w:cs="Arial"/>
                <w:sz w:val="20"/>
                <w:szCs w:val="20"/>
              </w:rPr>
              <w:t>ly</w:t>
            </w:r>
            <w:r w:rsidR="00AB5913" w:rsidRPr="00CA44F8">
              <w:rPr>
                <w:rFonts w:cs="Arial"/>
                <w:sz w:val="20"/>
                <w:szCs w:val="20"/>
              </w:rPr>
              <w:t xml:space="preserve"> </w:t>
            </w:r>
            <w:r w:rsidR="000552BC">
              <w:rPr>
                <w:rFonts w:cs="Arial"/>
                <w:sz w:val="20"/>
                <w:szCs w:val="20"/>
              </w:rPr>
              <w:t>(</w:t>
            </w:r>
            <w:r w:rsidR="00AB5913" w:rsidRPr="00CA44F8">
              <w:rPr>
                <w:rFonts w:cs="Arial"/>
                <w:sz w:val="20"/>
                <w:szCs w:val="20"/>
              </w:rPr>
              <w:t>hydrat</w:t>
            </w:r>
            <w:r w:rsidR="00CA44F8" w:rsidRPr="00CA44F8">
              <w:rPr>
                <w:rFonts w:cs="Arial"/>
                <w:sz w:val="20"/>
                <w:szCs w:val="20"/>
              </w:rPr>
              <w:t>e</w:t>
            </w:r>
            <w:r w:rsidR="00AB5913" w:rsidRPr="00CA44F8">
              <w:rPr>
                <w:rFonts w:cs="Arial"/>
                <w:sz w:val="20"/>
                <w:szCs w:val="20"/>
              </w:rPr>
              <w:t xml:space="preserve"> </w:t>
            </w:r>
            <w:r w:rsidR="000552BC" w:rsidRPr="00CA44F8">
              <w:rPr>
                <w:rFonts w:cs="Arial"/>
                <w:sz w:val="20"/>
                <w:szCs w:val="20"/>
              </w:rPr>
              <w:t>during</w:t>
            </w:r>
            <w:r w:rsidR="000552BC">
              <w:rPr>
                <w:rFonts w:cs="Arial"/>
                <w:sz w:val="20"/>
                <w:szCs w:val="20"/>
              </w:rPr>
              <w:t>)</w:t>
            </w:r>
            <w:r w:rsidR="000552BC" w:rsidRPr="00CA44F8">
              <w:rPr>
                <w:rFonts w:cs="Arial"/>
                <w:sz w:val="20"/>
                <w:szCs w:val="20"/>
              </w:rPr>
              <w:t xml:space="preserve"> </w:t>
            </w:r>
            <w:r w:rsidR="00CA44F8" w:rsidRPr="00CA44F8">
              <w:rPr>
                <w:rFonts w:cs="Arial"/>
                <w:sz w:val="20"/>
                <w:szCs w:val="20"/>
              </w:rPr>
              <w:t>(rehydrate</w:t>
            </w:r>
            <w:r w:rsidR="000552BC">
              <w:rPr>
                <w:rFonts w:cs="Arial"/>
                <w:sz w:val="20"/>
                <w:szCs w:val="20"/>
              </w:rPr>
              <w:t xml:space="preserve"> after</w:t>
            </w:r>
            <w:r w:rsidR="00CA44F8" w:rsidRPr="00CA44F8">
              <w:rPr>
                <w:rFonts w:cs="Arial"/>
                <w:sz w:val="20"/>
                <w:szCs w:val="20"/>
              </w:rPr>
              <w:t>)</w:t>
            </w:r>
            <w:r w:rsidR="00AB5913" w:rsidRPr="00CA44F8">
              <w:rPr>
                <w:rFonts w:cs="Arial"/>
                <w:sz w:val="20"/>
                <w:szCs w:val="20"/>
              </w:rPr>
              <w:t xml:space="preserve"> </w:t>
            </w:r>
            <w:r w:rsidRPr="00CA44F8">
              <w:rPr>
                <w:rFonts w:cs="Arial"/>
                <w:sz w:val="20"/>
                <w:szCs w:val="20"/>
              </w:rPr>
              <w:t xml:space="preserve">60 minutes </w:t>
            </w:r>
            <w:r w:rsidR="0061734B">
              <w:rPr>
                <w:rFonts w:cs="Arial"/>
                <w:sz w:val="20"/>
                <w:szCs w:val="20"/>
              </w:rPr>
              <w:t xml:space="preserve">or more </w:t>
            </w:r>
            <w:r w:rsidRPr="00CA44F8">
              <w:rPr>
                <w:rFonts w:cs="Arial"/>
                <w:sz w:val="20"/>
                <w:szCs w:val="20"/>
              </w:rPr>
              <w:t xml:space="preserve">of </w:t>
            </w:r>
            <w:r w:rsidR="00AB5913" w:rsidRPr="00CA44F8">
              <w:rPr>
                <w:rFonts w:cs="Arial"/>
                <w:sz w:val="20"/>
                <w:szCs w:val="20"/>
              </w:rPr>
              <w:t>strenuous physical activity.</w:t>
            </w:r>
          </w:p>
        </w:tc>
        <w:tc>
          <w:tcPr>
            <w:tcW w:w="1666" w:type="pct"/>
          </w:tcPr>
          <w:p w14:paraId="606621BE" w14:textId="77777777" w:rsidR="00AB5913" w:rsidRPr="00DF7A3B" w:rsidRDefault="00AB5913" w:rsidP="00424BD1">
            <w:pPr>
              <w:widowControl/>
              <w:spacing w:before="120" w:after="120"/>
              <w:rPr>
                <w:rFonts w:cs="Arial"/>
                <w:color w:val="000000"/>
                <w:sz w:val="20"/>
                <w:szCs w:val="20"/>
                <w:lang w:eastAsia="en-GB" w:bidi="ar-SA"/>
              </w:rPr>
            </w:pPr>
            <w:r w:rsidRPr="00DF7A3B">
              <w:rPr>
                <w:rFonts w:cs="Arial"/>
                <w:sz w:val="20"/>
                <w:szCs w:val="20"/>
              </w:rPr>
              <w:t>enhance the absorption of water during physical exercise</w:t>
            </w:r>
          </w:p>
        </w:tc>
      </w:tr>
      <w:tr w:rsidR="00AB5913" w:rsidRPr="00DF7A3B" w14:paraId="2A73B2AB" w14:textId="77777777" w:rsidTr="005D2505">
        <w:tc>
          <w:tcPr>
            <w:tcW w:w="1249" w:type="pct"/>
          </w:tcPr>
          <w:p w14:paraId="523CD3B2" w14:textId="7BAC758B" w:rsidR="00AB5913" w:rsidRPr="00DF7A3B" w:rsidRDefault="00AB5913" w:rsidP="003E66A1">
            <w:pPr>
              <w:widowControl/>
              <w:spacing w:before="120" w:after="120"/>
              <w:rPr>
                <w:sz w:val="20"/>
                <w:szCs w:val="20"/>
              </w:rPr>
            </w:pPr>
            <w:r w:rsidRPr="00DF7A3B">
              <w:rPr>
                <w:sz w:val="20"/>
                <w:szCs w:val="20"/>
              </w:rPr>
              <w:t>Claim</w:t>
            </w:r>
            <w:r>
              <w:rPr>
                <w:sz w:val="20"/>
                <w:szCs w:val="20"/>
              </w:rPr>
              <w:t xml:space="preserve"> </w:t>
            </w:r>
            <w:r w:rsidR="003640C7">
              <w:rPr>
                <w:sz w:val="20"/>
                <w:szCs w:val="20"/>
              </w:rPr>
              <w:t>–</w:t>
            </w:r>
            <w:r>
              <w:rPr>
                <w:sz w:val="20"/>
                <w:szCs w:val="20"/>
              </w:rPr>
              <w:t xml:space="preserve"> </w:t>
            </w:r>
            <w:r w:rsidR="003E66A1">
              <w:rPr>
                <w:sz w:val="20"/>
                <w:szCs w:val="20"/>
              </w:rPr>
              <w:t xml:space="preserve">hydration to maintain </w:t>
            </w:r>
            <w:r>
              <w:rPr>
                <w:sz w:val="20"/>
                <w:szCs w:val="20"/>
              </w:rPr>
              <w:t>performance</w:t>
            </w:r>
            <w:r w:rsidR="003640C7">
              <w:rPr>
                <w:sz w:val="20"/>
                <w:szCs w:val="20"/>
              </w:rPr>
              <w:t xml:space="preserve"> </w:t>
            </w:r>
          </w:p>
        </w:tc>
        <w:tc>
          <w:tcPr>
            <w:tcW w:w="2085" w:type="pct"/>
          </w:tcPr>
          <w:p w14:paraId="0292397F" w14:textId="5D6B0469" w:rsidR="00AB5913" w:rsidRPr="00CA44F8" w:rsidRDefault="00AB5913" w:rsidP="007F13DF">
            <w:pPr>
              <w:widowControl/>
              <w:spacing w:before="120" w:after="120"/>
              <w:rPr>
                <w:sz w:val="20"/>
                <w:szCs w:val="20"/>
              </w:rPr>
            </w:pPr>
            <w:r w:rsidRPr="00CA44F8">
              <w:rPr>
                <w:rFonts w:cs="Arial"/>
                <w:sz w:val="20"/>
                <w:szCs w:val="20"/>
              </w:rPr>
              <w:t xml:space="preserve">contribute to maintenance of performance </w:t>
            </w:r>
            <w:r w:rsidR="007F13DF">
              <w:rPr>
                <w:rFonts w:cs="Arial"/>
                <w:sz w:val="20"/>
                <w:szCs w:val="20"/>
              </w:rPr>
              <w:t>by</w:t>
            </w:r>
            <w:r w:rsidR="005D2505" w:rsidRPr="00CA44F8">
              <w:rPr>
                <w:rFonts w:cs="Arial"/>
                <w:sz w:val="20"/>
                <w:szCs w:val="20"/>
              </w:rPr>
              <w:t xml:space="preserve"> rapid</w:t>
            </w:r>
            <w:r w:rsidRPr="00CA44F8">
              <w:rPr>
                <w:rFonts w:cs="Arial"/>
                <w:sz w:val="20"/>
                <w:szCs w:val="20"/>
              </w:rPr>
              <w:t xml:space="preserve"> hydration during </w:t>
            </w:r>
            <w:r w:rsidR="005D2505" w:rsidRPr="00CA44F8">
              <w:rPr>
                <w:rFonts w:cs="Arial"/>
                <w:sz w:val="20"/>
                <w:szCs w:val="20"/>
              </w:rPr>
              <w:t xml:space="preserve">60 minutes </w:t>
            </w:r>
            <w:r w:rsidR="0061734B">
              <w:rPr>
                <w:rFonts w:cs="Arial"/>
                <w:sz w:val="20"/>
                <w:szCs w:val="20"/>
              </w:rPr>
              <w:t xml:space="preserve">or more </w:t>
            </w:r>
            <w:r w:rsidR="005D2505" w:rsidRPr="00CA44F8">
              <w:rPr>
                <w:rFonts w:cs="Arial"/>
                <w:sz w:val="20"/>
                <w:szCs w:val="20"/>
              </w:rPr>
              <w:t xml:space="preserve">of </w:t>
            </w:r>
            <w:r w:rsidRPr="00CA44F8">
              <w:rPr>
                <w:rFonts w:cs="Arial"/>
                <w:sz w:val="20"/>
                <w:szCs w:val="20"/>
              </w:rPr>
              <w:t xml:space="preserve">strenuous </w:t>
            </w:r>
            <w:r w:rsidR="0070620D">
              <w:rPr>
                <w:rFonts w:cs="Arial"/>
                <w:sz w:val="20"/>
                <w:szCs w:val="20"/>
              </w:rPr>
              <w:t xml:space="preserve">physical </w:t>
            </w:r>
            <w:r w:rsidRPr="00CA44F8">
              <w:rPr>
                <w:rFonts w:cs="Arial"/>
                <w:sz w:val="20"/>
                <w:szCs w:val="20"/>
              </w:rPr>
              <w:t xml:space="preserve">activity </w:t>
            </w:r>
          </w:p>
        </w:tc>
        <w:tc>
          <w:tcPr>
            <w:tcW w:w="1666" w:type="pct"/>
          </w:tcPr>
          <w:p w14:paraId="3EB46AD8" w14:textId="77777777" w:rsidR="00AB5913" w:rsidRPr="00DF7A3B" w:rsidRDefault="00AB5913" w:rsidP="00424BD1">
            <w:pPr>
              <w:widowControl/>
              <w:spacing w:before="120" w:after="120"/>
              <w:rPr>
                <w:rFonts w:cs="Arial"/>
                <w:color w:val="000000"/>
                <w:sz w:val="20"/>
                <w:szCs w:val="20"/>
                <w:lang w:eastAsia="en-GB" w:bidi="ar-SA"/>
              </w:rPr>
            </w:pPr>
            <w:r w:rsidRPr="00DF7A3B">
              <w:rPr>
                <w:rFonts w:cs="Arial"/>
                <w:color w:val="000000"/>
                <w:sz w:val="20"/>
                <w:szCs w:val="20"/>
                <w:lang w:eastAsia="en-GB" w:bidi="ar-SA"/>
              </w:rPr>
              <w:t>contribute to the maintenance of endurance performance during prolonged endurance exercise</w:t>
            </w:r>
          </w:p>
        </w:tc>
      </w:tr>
      <w:tr w:rsidR="00AB5913" w:rsidRPr="00DF7A3B" w14:paraId="7E2381D0" w14:textId="77777777" w:rsidTr="005D2505">
        <w:tc>
          <w:tcPr>
            <w:tcW w:w="1249" w:type="pct"/>
          </w:tcPr>
          <w:p w14:paraId="3A936F5A" w14:textId="6FCF37AF" w:rsidR="00AB5913" w:rsidRPr="00DF7A3B" w:rsidRDefault="0052629D" w:rsidP="00073CB6">
            <w:pPr>
              <w:widowControl/>
              <w:spacing w:before="120" w:after="120"/>
              <w:rPr>
                <w:sz w:val="20"/>
                <w:szCs w:val="20"/>
              </w:rPr>
            </w:pPr>
            <w:r>
              <w:rPr>
                <w:sz w:val="20"/>
                <w:szCs w:val="20"/>
              </w:rPr>
              <w:t>carbohydrate</w:t>
            </w:r>
          </w:p>
        </w:tc>
        <w:tc>
          <w:tcPr>
            <w:tcW w:w="2085" w:type="pct"/>
          </w:tcPr>
          <w:p w14:paraId="45239EE5" w14:textId="7AB2D88A" w:rsidR="00AB5913" w:rsidRPr="00670293" w:rsidRDefault="00AB5913" w:rsidP="00424BD1">
            <w:pPr>
              <w:widowControl/>
              <w:spacing w:before="120" w:after="120"/>
              <w:rPr>
                <w:rFonts w:cs="Arial"/>
                <w:color w:val="000000"/>
                <w:sz w:val="20"/>
                <w:szCs w:val="20"/>
                <w:lang w:eastAsia="en-GB"/>
              </w:rPr>
            </w:pPr>
            <w:r w:rsidRPr="00670293">
              <w:rPr>
                <w:sz w:val="20"/>
                <w:szCs w:val="20"/>
              </w:rPr>
              <w:t xml:space="preserve">20–100 g/L </w:t>
            </w:r>
            <w:r w:rsidR="0052629D">
              <w:rPr>
                <w:sz w:val="20"/>
                <w:szCs w:val="20"/>
              </w:rPr>
              <w:t>carbohydrate</w:t>
            </w:r>
            <w:r w:rsidRPr="00670293">
              <w:rPr>
                <w:sz w:val="20"/>
                <w:szCs w:val="20"/>
              </w:rPr>
              <w:t xml:space="preserve"> from </w:t>
            </w:r>
            <w:r w:rsidR="00E2103A">
              <w:rPr>
                <w:rFonts w:cs="Arial"/>
                <w:color w:val="000000"/>
                <w:sz w:val="20"/>
                <w:szCs w:val="20"/>
                <w:lang w:eastAsia="en-GB"/>
              </w:rPr>
              <w:t>dextrose</w:t>
            </w:r>
            <w:r w:rsidRPr="00670293">
              <w:rPr>
                <w:rFonts w:cs="Arial"/>
                <w:color w:val="000000"/>
                <w:sz w:val="20"/>
                <w:szCs w:val="20"/>
                <w:lang w:eastAsia="en-GB"/>
              </w:rPr>
              <w:t>, glucose</w:t>
            </w:r>
            <w:r w:rsidR="00073CB6">
              <w:rPr>
                <w:rFonts w:cs="Arial"/>
                <w:color w:val="000000"/>
                <w:sz w:val="20"/>
                <w:szCs w:val="20"/>
                <w:lang w:eastAsia="en-GB"/>
              </w:rPr>
              <w:t xml:space="preserve"> syrup, maltodextrin,</w:t>
            </w:r>
            <w:r w:rsidRPr="00670293">
              <w:rPr>
                <w:rFonts w:cs="Arial"/>
                <w:color w:val="000000"/>
                <w:sz w:val="20"/>
                <w:szCs w:val="20"/>
                <w:lang w:eastAsia="en-GB"/>
              </w:rPr>
              <w:t xml:space="preserve"> sucrose, fructose.</w:t>
            </w:r>
          </w:p>
          <w:p w14:paraId="029390CF" w14:textId="77777777" w:rsidR="00AB5913" w:rsidRPr="00670293" w:rsidRDefault="00AB5913" w:rsidP="00424BD1">
            <w:pPr>
              <w:widowControl/>
              <w:spacing w:before="120" w:after="120"/>
              <w:rPr>
                <w:rFonts w:cs="Arial"/>
                <w:color w:val="000000"/>
                <w:sz w:val="20"/>
                <w:szCs w:val="20"/>
                <w:lang w:eastAsia="en-GB"/>
              </w:rPr>
            </w:pPr>
          </w:p>
          <w:p w14:paraId="722711F7" w14:textId="12543374" w:rsidR="00AB5913" w:rsidRPr="00670293" w:rsidRDefault="00AB5913" w:rsidP="00424BD1">
            <w:pPr>
              <w:widowControl/>
              <w:spacing w:before="120" w:after="120"/>
              <w:rPr>
                <w:rFonts w:cs="Arial"/>
                <w:color w:val="000000"/>
                <w:sz w:val="20"/>
                <w:szCs w:val="20"/>
                <w:lang w:eastAsia="en-GB"/>
              </w:rPr>
            </w:pPr>
            <w:r w:rsidRPr="00670293">
              <w:rPr>
                <w:rFonts w:cs="Arial"/>
                <w:color w:val="000000"/>
                <w:sz w:val="20"/>
                <w:szCs w:val="20"/>
                <w:lang w:eastAsia="en-GB"/>
              </w:rPr>
              <w:t xml:space="preserve">No more than </w:t>
            </w:r>
            <w:r w:rsidR="000552BC" w:rsidRPr="00670293">
              <w:rPr>
                <w:rFonts w:cs="Arial"/>
                <w:color w:val="000000"/>
                <w:sz w:val="20"/>
                <w:szCs w:val="20"/>
                <w:lang w:eastAsia="en-GB"/>
              </w:rPr>
              <w:t xml:space="preserve">20 </w:t>
            </w:r>
            <w:r w:rsidRPr="00670293">
              <w:rPr>
                <w:rFonts w:cs="Arial"/>
                <w:color w:val="000000"/>
                <w:sz w:val="20"/>
                <w:szCs w:val="20"/>
                <w:lang w:eastAsia="en-GB"/>
              </w:rPr>
              <w:t>g/L fructose</w:t>
            </w:r>
          </w:p>
          <w:p w14:paraId="0C10773B" w14:textId="77777777" w:rsidR="00AB5913" w:rsidRPr="00670293" w:rsidRDefault="00AB5913" w:rsidP="00424BD1">
            <w:pPr>
              <w:widowControl/>
              <w:spacing w:before="120" w:after="120"/>
              <w:rPr>
                <w:sz w:val="20"/>
                <w:szCs w:val="20"/>
              </w:rPr>
            </w:pPr>
          </w:p>
        </w:tc>
        <w:tc>
          <w:tcPr>
            <w:tcW w:w="1666" w:type="pct"/>
          </w:tcPr>
          <w:p w14:paraId="6EBAC04A" w14:textId="63475A8A" w:rsidR="00AB5913" w:rsidRPr="00DF7A3B" w:rsidRDefault="00AB5913" w:rsidP="00424BD1">
            <w:pPr>
              <w:widowControl/>
              <w:spacing w:before="120" w:after="120"/>
              <w:rPr>
                <w:rFonts w:cs="Arial"/>
                <w:color w:val="000000"/>
                <w:sz w:val="20"/>
                <w:szCs w:val="20"/>
                <w:lang w:eastAsia="en-GB"/>
              </w:rPr>
            </w:pPr>
            <w:r w:rsidRPr="00DF7A3B">
              <w:rPr>
                <w:rFonts w:cs="Arial"/>
                <w:color w:val="000000"/>
                <w:sz w:val="20"/>
                <w:szCs w:val="20"/>
                <w:lang w:eastAsia="en-GB"/>
              </w:rPr>
              <w:lastRenderedPageBreak/>
              <w:t>80-350 kcal/L from carbohydrates [</w:t>
            </w:r>
            <w:r w:rsidR="00CA44F8">
              <w:rPr>
                <w:rFonts w:cs="Arial"/>
                <w:color w:val="000000"/>
                <w:sz w:val="20"/>
                <w:szCs w:val="20"/>
                <w:lang w:eastAsia="en-GB"/>
              </w:rPr>
              <w:t>≡</w:t>
            </w:r>
            <w:r w:rsidRPr="00DF7A3B">
              <w:rPr>
                <w:rFonts w:cs="Arial"/>
                <w:color w:val="000000"/>
                <w:sz w:val="20"/>
                <w:szCs w:val="20"/>
                <w:lang w:eastAsia="en-GB"/>
              </w:rPr>
              <w:t xml:space="preserve">19.1 – 83.6 </w:t>
            </w:r>
            <w:r w:rsidR="005361C8" w:rsidRPr="00DF7A3B">
              <w:rPr>
                <w:rFonts w:cs="Arial"/>
                <w:color w:val="000000"/>
                <w:sz w:val="20"/>
                <w:szCs w:val="20"/>
                <w:lang w:eastAsia="en-GB"/>
              </w:rPr>
              <w:t>g/</w:t>
            </w:r>
            <w:r w:rsidRPr="00DF7A3B">
              <w:rPr>
                <w:rFonts w:cs="Arial"/>
                <w:color w:val="000000"/>
                <w:sz w:val="20"/>
                <w:szCs w:val="20"/>
                <w:lang w:eastAsia="en-GB"/>
              </w:rPr>
              <w:t>L</w:t>
            </w:r>
            <w:r w:rsidR="005361C8" w:rsidRPr="00DF7A3B">
              <w:rPr>
                <w:rFonts w:cs="Arial"/>
                <w:color w:val="000000"/>
                <w:sz w:val="20"/>
                <w:szCs w:val="20"/>
                <w:lang w:eastAsia="en-GB"/>
              </w:rPr>
              <w:t xml:space="preserve"> </w:t>
            </w:r>
            <w:r w:rsidR="0052629D">
              <w:rPr>
                <w:rFonts w:cs="Arial"/>
                <w:color w:val="000000"/>
                <w:sz w:val="20"/>
                <w:szCs w:val="20"/>
                <w:lang w:eastAsia="en-GB"/>
              </w:rPr>
              <w:t>carbohydrate</w:t>
            </w:r>
            <w:r w:rsidRPr="00DF7A3B">
              <w:rPr>
                <w:rFonts w:cs="Arial"/>
                <w:color w:val="000000"/>
                <w:sz w:val="20"/>
                <w:szCs w:val="20"/>
                <w:lang w:eastAsia="en-GB"/>
              </w:rPr>
              <w:t>], and</w:t>
            </w:r>
          </w:p>
          <w:p w14:paraId="11CCF018" w14:textId="77777777" w:rsidR="00AB5913" w:rsidRPr="00DF7A3B" w:rsidRDefault="00AB5913" w:rsidP="00424BD1">
            <w:pPr>
              <w:widowControl/>
              <w:spacing w:before="120" w:after="120"/>
              <w:rPr>
                <w:rFonts w:cs="Arial"/>
                <w:color w:val="000000"/>
                <w:sz w:val="20"/>
                <w:szCs w:val="20"/>
                <w:lang w:eastAsia="en-GB"/>
              </w:rPr>
            </w:pPr>
            <w:r w:rsidRPr="00DF7A3B">
              <w:rPr>
                <w:rFonts w:cs="Arial"/>
                <w:color w:val="000000"/>
                <w:sz w:val="20"/>
                <w:szCs w:val="20"/>
                <w:lang w:eastAsia="en-GB"/>
              </w:rPr>
              <w:t xml:space="preserve">at least 75 % energy should be derived from carbohydrates which induce a high </w:t>
            </w:r>
            <w:r w:rsidRPr="00DF7A3B">
              <w:rPr>
                <w:rFonts w:cs="Arial"/>
                <w:color w:val="000000"/>
                <w:sz w:val="20"/>
                <w:szCs w:val="20"/>
                <w:lang w:eastAsia="en-GB"/>
              </w:rPr>
              <w:lastRenderedPageBreak/>
              <w:t xml:space="preserve">glycaemic response, such as glucose, glucose polymers and sucrose. </w:t>
            </w:r>
          </w:p>
        </w:tc>
      </w:tr>
      <w:tr w:rsidR="00AB5913" w:rsidRPr="00DF7A3B" w14:paraId="08A8917C" w14:textId="77777777" w:rsidTr="005D2505">
        <w:tc>
          <w:tcPr>
            <w:tcW w:w="1249" w:type="pct"/>
          </w:tcPr>
          <w:p w14:paraId="3337F223" w14:textId="08EAD9EE" w:rsidR="00AB5913" w:rsidRPr="00CA44F8" w:rsidRDefault="00AB5913" w:rsidP="00424BD1">
            <w:pPr>
              <w:widowControl/>
              <w:spacing w:before="120" w:after="120"/>
              <w:rPr>
                <w:sz w:val="20"/>
                <w:szCs w:val="20"/>
              </w:rPr>
            </w:pPr>
            <w:r w:rsidRPr="00CA44F8">
              <w:rPr>
                <w:sz w:val="20"/>
                <w:szCs w:val="20"/>
              </w:rPr>
              <w:lastRenderedPageBreak/>
              <w:t>Sodium</w:t>
            </w:r>
          </w:p>
        </w:tc>
        <w:tc>
          <w:tcPr>
            <w:tcW w:w="2085" w:type="pct"/>
          </w:tcPr>
          <w:p w14:paraId="04510003" w14:textId="553BE9D8" w:rsidR="00AB5913" w:rsidRPr="00670293" w:rsidRDefault="00AB5913" w:rsidP="00424BD1">
            <w:pPr>
              <w:widowControl/>
              <w:spacing w:before="120" w:after="120"/>
              <w:rPr>
                <w:rFonts w:cs="Arial"/>
                <w:color w:val="000000"/>
                <w:sz w:val="20"/>
                <w:szCs w:val="20"/>
                <w:lang w:eastAsia="en-GB"/>
              </w:rPr>
            </w:pPr>
            <w:r w:rsidRPr="00670293">
              <w:rPr>
                <w:rFonts w:cs="Arial"/>
                <w:color w:val="000000"/>
                <w:sz w:val="20"/>
                <w:szCs w:val="20"/>
                <w:lang w:eastAsia="en-GB"/>
              </w:rPr>
              <w:t>No less than</w:t>
            </w:r>
            <w:r w:rsidR="008725E4">
              <w:rPr>
                <w:rFonts w:cs="Arial"/>
                <w:color w:val="000000"/>
                <w:sz w:val="20"/>
                <w:szCs w:val="20"/>
                <w:lang w:eastAsia="en-GB"/>
              </w:rPr>
              <w:t xml:space="preserve"> </w:t>
            </w:r>
            <w:r w:rsidRPr="00670293">
              <w:rPr>
                <w:rFonts w:cs="Arial"/>
                <w:color w:val="000000"/>
                <w:sz w:val="20"/>
                <w:szCs w:val="20"/>
                <w:lang w:eastAsia="en-GB"/>
              </w:rPr>
              <w:t>10 mmol/L sodium</w:t>
            </w:r>
            <w:r w:rsidR="00073CB6">
              <w:rPr>
                <w:rFonts w:cs="Arial"/>
                <w:color w:val="000000"/>
                <w:sz w:val="20"/>
                <w:szCs w:val="20"/>
                <w:lang w:eastAsia="en-GB"/>
              </w:rPr>
              <w:t xml:space="preserve"> (no change)</w:t>
            </w:r>
          </w:p>
          <w:p w14:paraId="327A17A8" w14:textId="77777777" w:rsidR="00AB5913" w:rsidRPr="00670293" w:rsidRDefault="00AB5913" w:rsidP="00424BD1">
            <w:pPr>
              <w:widowControl/>
              <w:spacing w:before="120" w:after="120"/>
              <w:rPr>
                <w:sz w:val="20"/>
                <w:szCs w:val="20"/>
              </w:rPr>
            </w:pPr>
          </w:p>
        </w:tc>
        <w:tc>
          <w:tcPr>
            <w:tcW w:w="1666" w:type="pct"/>
          </w:tcPr>
          <w:p w14:paraId="10EA5416" w14:textId="77777777" w:rsidR="00AB5913" w:rsidRPr="00DF7A3B" w:rsidRDefault="00AB5913" w:rsidP="00424BD1">
            <w:pPr>
              <w:widowControl/>
              <w:spacing w:before="120" w:after="120"/>
              <w:rPr>
                <w:rFonts w:cs="Arial"/>
                <w:color w:val="000000"/>
                <w:sz w:val="20"/>
                <w:szCs w:val="20"/>
                <w:lang w:eastAsia="en-GB"/>
              </w:rPr>
            </w:pPr>
            <w:r w:rsidRPr="00DF7A3B">
              <w:rPr>
                <w:rFonts w:cs="Arial"/>
                <w:color w:val="000000"/>
                <w:sz w:val="20"/>
                <w:szCs w:val="20"/>
                <w:lang w:eastAsia="en-GB"/>
              </w:rPr>
              <w:t>20–50 mmol/L (460–1,150 mg/L) sodium</w:t>
            </w:r>
          </w:p>
        </w:tc>
      </w:tr>
      <w:tr w:rsidR="00AB5913" w:rsidRPr="00DF7A3B" w14:paraId="414A3DAB" w14:textId="77777777" w:rsidTr="005D2505">
        <w:tc>
          <w:tcPr>
            <w:tcW w:w="1249" w:type="pct"/>
          </w:tcPr>
          <w:p w14:paraId="45E1EC15" w14:textId="3E37CDDF" w:rsidR="00AB5913" w:rsidRPr="00CA44F8" w:rsidRDefault="00AB5913" w:rsidP="00424BD1">
            <w:pPr>
              <w:widowControl/>
              <w:spacing w:before="120" w:after="120"/>
              <w:rPr>
                <w:sz w:val="20"/>
                <w:szCs w:val="20"/>
              </w:rPr>
            </w:pPr>
            <w:r w:rsidRPr="00CA44F8">
              <w:rPr>
                <w:rFonts w:cs="Arial"/>
                <w:color w:val="000000"/>
                <w:sz w:val="20"/>
                <w:szCs w:val="20"/>
                <w:lang w:eastAsia="en-GB"/>
              </w:rPr>
              <w:t>Osmolality</w:t>
            </w:r>
            <w:r w:rsidR="00073CB6">
              <w:rPr>
                <w:rFonts w:cs="Arial"/>
                <w:color w:val="000000"/>
                <w:sz w:val="20"/>
                <w:szCs w:val="20"/>
                <w:lang w:eastAsia="en-GB"/>
              </w:rPr>
              <w:t xml:space="preserve"> (</w:t>
            </w:r>
            <w:r w:rsidR="00F2394F">
              <w:rPr>
                <w:rFonts w:cs="Arial"/>
                <w:color w:val="000000"/>
                <w:sz w:val="20"/>
                <w:szCs w:val="20"/>
                <w:lang w:eastAsia="en-GB"/>
              </w:rPr>
              <w:t xml:space="preserve">health </w:t>
            </w:r>
            <w:r w:rsidR="00073CB6">
              <w:rPr>
                <w:rFonts w:cs="Arial"/>
                <w:color w:val="000000"/>
                <w:sz w:val="20"/>
                <w:szCs w:val="20"/>
                <w:lang w:eastAsia="en-GB"/>
              </w:rPr>
              <w:t>claim condition)</w:t>
            </w:r>
          </w:p>
        </w:tc>
        <w:tc>
          <w:tcPr>
            <w:tcW w:w="2085" w:type="pct"/>
          </w:tcPr>
          <w:p w14:paraId="072AB7A6" w14:textId="1FF09960" w:rsidR="00AB5913" w:rsidRPr="00670293" w:rsidRDefault="00AB5913" w:rsidP="001F198A">
            <w:pPr>
              <w:widowControl/>
              <w:spacing w:before="120" w:after="120"/>
              <w:rPr>
                <w:sz w:val="20"/>
                <w:szCs w:val="20"/>
              </w:rPr>
            </w:pPr>
            <w:r w:rsidRPr="00670293">
              <w:rPr>
                <w:rFonts w:cs="Arial"/>
                <w:color w:val="000000"/>
                <w:sz w:val="20"/>
                <w:szCs w:val="20"/>
                <w:lang w:eastAsia="en-GB"/>
              </w:rPr>
              <w:t>Average osmolality 200–340 mOsm/</w:t>
            </w:r>
            <w:r w:rsidR="001F198A">
              <w:rPr>
                <w:rFonts w:cs="Arial"/>
                <w:color w:val="000000"/>
                <w:sz w:val="20"/>
                <w:szCs w:val="20"/>
                <w:lang w:eastAsia="en-GB"/>
              </w:rPr>
              <w:t>kg</w:t>
            </w:r>
          </w:p>
        </w:tc>
        <w:tc>
          <w:tcPr>
            <w:tcW w:w="1666" w:type="pct"/>
          </w:tcPr>
          <w:p w14:paraId="0CD422DD" w14:textId="77777777" w:rsidR="00AB5913" w:rsidRPr="00DF7A3B" w:rsidRDefault="00AB5913" w:rsidP="00424BD1">
            <w:pPr>
              <w:widowControl/>
              <w:spacing w:before="120" w:after="120"/>
              <w:rPr>
                <w:rFonts w:cs="Arial"/>
                <w:color w:val="000000"/>
                <w:sz w:val="20"/>
                <w:szCs w:val="20"/>
                <w:lang w:eastAsia="en-GB"/>
              </w:rPr>
            </w:pPr>
            <w:r w:rsidRPr="00DF7A3B">
              <w:rPr>
                <w:rFonts w:cs="Arial"/>
                <w:color w:val="000000"/>
                <w:sz w:val="20"/>
                <w:szCs w:val="20"/>
                <w:lang w:eastAsia="en-GB"/>
              </w:rPr>
              <w:t>Osmolality 200–330 mOsm/kg water</w:t>
            </w:r>
          </w:p>
        </w:tc>
      </w:tr>
    </w:tbl>
    <w:p w14:paraId="39748872" w14:textId="4C0B2B86" w:rsidR="00911344" w:rsidRPr="009A4824" w:rsidRDefault="00370497" w:rsidP="00965DE2">
      <w:pPr>
        <w:pStyle w:val="Heading3"/>
      </w:pPr>
      <w:bookmarkStart w:id="187" w:name="_Toc71711637"/>
      <w:bookmarkStart w:id="188" w:name="_Toc72673571"/>
      <w:bookmarkStart w:id="189" w:name="_Toc60825006"/>
      <w:bookmarkStart w:id="190" w:name="_Toc61442311"/>
      <w:bookmarkStart w:id="191" w:name="_Toc61449855"/>
      <w:bookmarkStart w:id="192" w:name="_Toc63342499"/>
      <w:r>
        <w:t>2</w:t>
      </w:r>
      <w:r w:rsidR="006656D4">
        <w:t>.3.6</w:t>
      </w:r>
      <w:r>
        <w:tab/>
      </w:r>
      <w:r w:rsidR="00B60C11">
        <w:t>Reference to</w:t>
      </w:r>
      <w:r w:rsidR="00911344" w:rsidRPr="009A4824">
        <w:t xml:space="preserve"> </w:t>
      </w:r>
      <w:r w:rsidR="008126CB">
        <w:t>‘</w:t>
      </w:r>
      <w:r w:rsidR="00911344" w:rsidRPr="009A4824">
        <w:t>minerals</w:t>
      </w:r>
      <w:r w:rsidR="008126CB">
        <w:t>’</w:t>
      </w:r>
      <w:bookmarkEnd w:id="187"/>
      <w:bookmarkEnd w:id="188"/>
      <w:r w:rsidR="00911344" w:rsidRPr="009A4824">
        <w:t xml:space="preserve"> </w:t>
      </w:r>
      <w:bookmarkEnd w:id="189"/>
      <w:bookmarkEnd w:id="190"/>
      <w:bookmarkEnd w:id="191"/>
      <w:bookmarkEnd w:id="192"/>
    </w:p>
    <w:p w14:paraId="46A35A2D" w14:textId="2BD5D967" w:rsidR="00911344" w:rsidRPr="006656D4" w:rsidRDefault="006656D4" w:rsidP="006656D4">
      <w:pPr>
        <w:pStyle w:val="Heading4"/>
        <w:rPr>
          <w:lang w:eastAsia="en-AU"/>
        </w:rPr>
      </w:pPr>
      <w:r w:rsidRPr="006656D4">
        <w:rPr>
          <w:lang w:eastAsia="en-AU"/>
        </w:rPr>
        <w:t>2.</w:t>
      </w:r>
      <w:r>
        <w:rPr>
          <w:lang w:eastAsia="en-AU"/>
        </w:rPr>
        <w:t>3.6.1</w:t>
      </w:r>
      <w:r w:rsidRPr="006656D4">
        <w:rPr>
          <w:lang w:eastAsia="en-AU"/>
        </w:rPr>
        <w:tab/>
      </w:r>
      <w:r w:rsidR="00911344" w:rsidRPr="006656D4">
        <w:rPr>
          <w:lang w:eastAsia="en-AU"/>
        </w:rPr>
        <w:t>Approach in 2014 Call for submissions</w:t>
      </w:r>
    </w:p>
    <w:p w14:paraId="03C7453F" w14:textId="045FF5A6" w:rsidR="00911344" w:rsidRDefault="00C62D0A" w:rsidP="006E7932">
      <w:pPr>
        <w:rPr>
          <w:b/>
        </w:rPr>
      </w:pPr>
      <w:r>
        <w:t xml:space="preserve">Existing section </w:t>
      </w:r>
      <w:r w:rsidR="00670293">
        <w:t>2.6.2—10</w:t>
      </w:r>
      <w:r w:rsidR="00911344">
        <w:t xml:space="preserve"> </w:t>
      </w:r>
      <w:r w:rsidR="00822D09">
        <w:t>contain</w:t>
      </w:r>
      <w:r w:rsidR="00DF3763">
        <w:t xml:space="preserve">s </w:t>
      </w:r>
      <w:r w:rsidR="00822D09">
        <w:t xml:space="preserve">permission </w:t>
      </w:r>
      <w:r w:rsidR="005C5F65">
        <w:t>to</w:t>
      </w:r>
      <w:r w:rsidR="00822D09">
        <w:t xml:space="preserve"> add </w:t>
      </w:r>
      <w:r w:rsidR="005C5F65">
        <w:t xml:space="preserve">various </w:t>
      </w:r>
      <w:r w:rsidR="00B60C11">
        <w:t>‘</w:t>
      </w:r>
      <w:r w:rsidR="00822D09">
        <w:t>mineral</w:t>
      </w:r>
      <w:r w:rsidR="005C5F65">
        <w:t>s</w:t>
      </w:r>
      <w:r w:rsidR="00B60C11">
        <w:t>’</w:t>
      </w:r>
      <w:r w:rsidR="00822D09">
        <w:t xml:space="preserve"> </w:t>
      </w:r>
      <w:r w:rsidR="005C5F65">
        <w:t xml:space="preserve">(in the form of mineral </w:t>
      </w:r>
      <w:r w:rsidR="00822D09">
        <w:t>salts</w:t>
      </w:r>
      <w:r w:rsidR="005C5F65">
        <w:t>) to electrolyte drinks</w:t>
      </w:r>
      <w:r w:rsidR="00DF3763">
        <w:t>; it was</w:t>
      </w:r>
      <w:r w:rsidR="00765BC1">
        <w:t xml:space="preserve"> </w:t>
      </w:r>
      <w:r>
        <w:t xml:space="preserve">proposed to be </w:t>
      </w:r>
      <w:r w:rsidR="00765BC1">
        <w:t>deleted and</w:t>
      </w:r>
      <w:r w:rsidR="00DF3763">
        <w:t xml:space="preserve"> incorporated into the preceding section </w:t>
      </w:r>
      <w:r w:rsidR="009F53A3">
        <w:t>2.6.2—</w:t>
      </w:r>
      <w:r w:rsidR="005751EB">
        <w:t xml:space="preserve">9 </w:t>
      </w:r>
      <w:r w:rsidR="00DF3763">
        <w:t xml:space="preserve">as a new </w:t>
      </w:r>
      <w:r w:rsidR="00A41B68">
        <w:t>subsection</w:t>
      </w:r>
      <w:r w:rsidR="002D7450">
        <w:t>.</w:t>
      </w:r>
    </w:p>
    <w:p w14:paraId="0EB82DA6" w14:textId="53FA6AFF" w:rsidR="00911344" w:rsidRPr="006656D4" w:rsidRDefault="006656D4" w:rsidP="006656D4">
      <w:pPr>
        <w:pStyle w:val="Heading4"/>
      </w:pPr>
      <w:r w:rsidRPr="006656D4">
        <w:t>2.</w:t>
      </w:r>
      <w:r>
        <w:t>3.</w:t>
      </w:r>
      <w:r w:rsidRPr="006656D4">
        <w:t>6.</w:t>
      </w:r>
      <w:r>
        <w:t>2</w:t>
      </w:r>
      <w:r w:rsidRPr="006656D4">
        <w:tab/>
      </w:r>
      <w:r w:rsidR="00911344" w:rsidRPr="006656D4">
        <w:t xml:space="preserve">Proposed </w:t>
      </w:r>
      <w:r w:rsidR="00D903F8">
        <w:t xml:space="preserve">new </w:t>
      </w:r>
      <w:r w:rsidR="00911344" w:rsidRPr="006656D4">
        <w:t xml:space="preserve">approach </w:t>
      </w:r>
    </w:p>
    <w:p w14:paraId="4ABBEFC7" w14:textId="5C35E5CB" w:rsidR="00911344" w:rsidRDefault="001744CA" w:rsidP="006E7932">
      <w:pPr>
        <w:rPr>
          <w:b/>
        </w:rPr>
      </w:pPr>
      <w:r>
        <w:t xml:space="preserve">It is proposed to </w:t>
      </w:r>
      <w:r w:rsidR="005C5F65">
        <w:t>remove the reference to</w:t>
      </w:r>
      <w:r w:rsidR="00911344" w:rsidRPr="00CF56B9">
        <w:t xml:space="preserve"> </w:t>
      </w:r>
      <w:r w:rsidR="005C5F65">
        <w:t>‘</w:t>
      </w:r>
      <w:r w:rsidR="00911344" w:rsidRPr="00CF56B9">
        <w:t>mineral</w:t>
      </w:r>
      <w:r w:rsidR="005C5F65">
        <w:t>’ in relation to the permission to add the mineral</w:t>
      </w:r>
      <w:r w:rsidR="00911344" w:rsidRPr="00CF56B9">
        <w:t xml:space="preserve"> salts. </w:t>
      </w:r>
      <w:r w:rsidR="002D7450">
        <w:t xml:space="preserve">In the context of </w:t>
      </w:r>
      <w:r w:rsidR="001221D2">
        <w:t>electrolyte drink</w:t>
      </w:r>
      <w:r w:rsidR="002D7450">
        <w:t xml:space="preserve">s, </w:t>
      </w:r>
      <w:r w:rsidR="00E75F1F">
        <w:t xml:space="preserve">these mineral salts dissociate into functional electrolytes </w:t>
      </w:r>
      <w:r w:rsidR="005751EB">
        <w:t>(as charged cations and anions</w:t>
      </w:r>
      <w:r w:rsidR="00B44E94">
        <w:t xml:space="preserve">; </w:t>
      </w:r>
      <w:r w:rsidR="005C5F65" w:rsidRPr="005C5F65">
        <w:t>sodium, potassium, calcium and magnesium and chloride</w:t>
      </w:r>
      <w:r w:rsidR="005C5F65">
        <w:t>)</w:t>
      </w:r>
      <w:r w:rsidR="00911344">
        <w:t xml:space="preserve">. </w:t>
      </w:r>
      <w:r w:rsidR="009D479E">
        <w:t xml:space="preserve">FSANZ considers that the </w:t>
      </w:r>
      <w:r w:rsidR="000552BC">
        <w:t>five</w:t>
      </w:r>
      <w:r w:rsidR="009D479E">
        <w:t xml:space="preserve"> aforementioned </w:t>
      </w:r>
      <w:r w:rsidR="005C5F65">
        <w:t>‘</w:t>
      </w:r>
      <w:r w:rsidR="009D479E">
        <w:t>minerals</w:t>
      </w:r>
      <w:r w:rsidR="005C5F65">
        <w:t>’</w:t>
      </w:r>
      <w:r w:rsidR="009D479E">
        <w:t xml:space="preserve"> perform the function of </w:t>
      </w:r>
      <w:r w:rsidR="00B60C11">
        <w:t xml:space="preserve">an </w:t>
      </w:r>
      <w:r w:rsidR="009D479E">
        <w:t xml:space="preserve">electrolyte </w:t>
      </w:r>
      <w:r w:rsidR="005E6355">
        <w:t xml:space="preserve">when </w:t>
      </w:r>
      <w:r w:rsidR="009D479E">
        <w:t>in</w:t>
      </w:r>
      <w:r w:rsidR="0052629D">
        <w:t xml:space="preserve"> electrolyte drinks.</w:t>
      </w:r>
      <w:r w:rsidR="009D479E">
        <w:t xml:space="preserve"> This means that their labelling </w:t>
      </w:r>
      <w:r w:rsidR="00D81D20">
        <w:t xml:space="preserve">should reflect their </w:t>
      </w:r>
      <w:r w:rsidR="005751EB">
        <w:t>function</w:t>
      </w:r>
      <w:r w:rsidR="009D479E">
        <w:t xml:space="preserve"> </w:t>
      </w:r>
      <w:r w:rsidR="00D81D20">
        <w:t>as electrolytes</w:t>
      </w:r>
      <w:r w:rsidR="00670293">
        <w:t xml:space="preserve"> </w:t>
      </w:r>
      <w:r w:rsidR="00DF3763">
        <w:t>rather than as</w:t>
      </w:r>
      <w:r w:rsidR="00670293">
        <w:t xml:space="preserve"> minerals</w:t>
      </w:r>
      <w:r w:rsidR="00B60C11">
        <w:t xml:space="preserve"> (refer to </w:t>
      </w:r>
      <w:r w:rsidR="009F53A3">
        <w:t xml:space="preserve">Section </w:t>
      </w:r>
      <w:r w:rsidR="00A551C7">
        <w:t>2.3.7</w:t>
      </w:r>
      <w:r w:rsidR="00F2394F">
        <w:t xml:space="preserve"> </w:t>
      </w:r>
      <w:r w:rsidR="009F53A3">
        <w:t>of th</w:t>
      </w:r>
      <w:r w:rsidR="00417F12">
        <w:t>is</w:t>
      </w:r>
      <w:r w:rsidR="009F53A3">
        <w:t xml:space="preserve"> </w:t>
      </w:r>
      <w:r w:rsidR="00417F12">
        <w:t>C</w:t>
      </w:r>
      <w:r w:rsidR="009F53A3">
        <w:t>onsultation paper</w:t>
      </w:r>
      <w:r w:rsidR="00B60C11">
        <w:t>)</w:t>
      </w:r>
      <w:r w:rsidR="005E6355">
        <w:t xml:space="preserve">. </w:t>
      </w:r>
      <w:r w:rsidR="00670293">
        <w:t>Note that</w:t>
      </w:r>
      <w:r w:rsidR="00B60C11">
        <w:t xml:space="preserve"> reference to</w:t>
      </w:r>
      <w:r w:rsidR="00670293">
        <w:t xml:space="preserve"> </w:t>
      </w:r>
      <w:r w:rsidR="00B60C11">
        <w:t>‘</w:t>
      </w:r>
      <w:r w:rsidR="00670293">
        <w:t>minerals</w:t>
      </w:r>
      <w:r w:rsidR="00B60C11">
        <w:t>’ is</w:t>
      </w:r>
      <w:r w:rsidR="00670293">
        <w:t xml:space="preserve"> </w:t>
      </w:r>
      <w:r w:rsidR="005E6355">
        <w:t xml:space="preserve">also </w:t>
      </w:r>
      <w:r w:rsidR="00670293">
        <w:t>proposed to be deleted from the</w:t>
      </w:r>
      <w:r w:rsidR="00F30226">
        <w:t xml:space="preserve"> definition of ‘electrolyte drink’</w:t>
      </w:r>
      <w:r w:rsidR="00670293">
        <w:t xml:space="preserve">. </w:t>
      </w:r>
    </w:p>
    <w:p w14:paraId="4133E7C6" w14:textId="5B81C95F" w:rsidR="000867D4" w:rsidRDefault="006656D4" w:rsidP="006656D4">
      <w:pPr>
        <w:pStyle w:val="Heading3"/>
      </w:pPr>
      <w:bookmarkStart w:id="193" w:name="_Toc60825007"/>
      <w:bookmarkStart w:id="194" w:name="_Toc61442312"/>
      <w:bookmarkStart w:id="195" w:name="_Toc61449856"/>
      <w:bookmarkStart w:id="196" w:name="_Toc63342500"/>
      <w:bookmarkStart w:id="197" w:name="_Toc71711638"/>
      <w:bookmarkStart w:id="198" w:name="_Toc72673572"/>
      <w:r>
        <w:t>2.3.7</w:t>
      </w:r>
      <w:r>
        <w:tab/>
      </w:r>
      <w:r w:rsidR="000867D4">
        <w:t>Nutrition information requirements</w:t>
      </w:r>
      <w:bookmarkEnd w:id="193"/>
      <w:bookmarkEnd w:id="194"/>
      <w:bookmarkEnd w:id="195"/>
      <w:bookmarkEnd w:id="196"/>
      <w:bookmarkEnd w:id="197"/>
      <w:bookmarkEnd w:id="198"/>
    </w:p>
    <w:p w14:paraId="7F4F6D78" w14:textId="4391C2AB" w:rsidR="000867D4" w:rsidRPr="006656D4" w:rsidRDefault="006656D4" w:rsidP="006656D4">
      <w:pPr>
        <w:pStyle w:val="Heading4"/>
        <w:rPr>
          <w:lang w:eastAsia="en-AU"/>
        </w:rPr>
      </w:pPr>
      <w:r w:rsidRPr="006656D4">
        <w:rPr>
          <w:lang w:eastAsia="en-AU"/>
        </w:rPr>
        <w:t>2.</w:t>
      </w:r>
      <w:r>
        <w:rPr>
          <w:lang w:eastAsia="en-AU"/>
        </w:rPr>
        <w:t>3.7.</w:t>
      </w:r>
      <w:r w:rsidRPr="006656D4">
        <w:rPr>
          <w:lang w:eastAsia="en-AU"/>
        </w:rPr>
        <w:t>1</w:t>
      </w:r>
      <w:r w:rsidRPr="006656D4">
        <w:rPr>
          <w:lang w:eastAsia="en-AU"/>
        </w:rPr>
        <w:tab/>
      </w:r>
      <w:r w:rsidR="000867D4" w:rsidRPr="006656D4">
        <w:rPr>
          <w:lang w:eastAsia="en-AU"/>
        </w:rPr>
        <w:t>Approach in 2014 Call for submissions</w:t>
      </w:r>
    </w:p>
    <w:p w14:paraId="25278CEE" w14:textId="0C0C9A2E" w:rsidR="000867D4" w:rsidRDefault="00B71245" w:rsidP="00424BD1">
      <w:pPr>
        <w:widowControl/>
        <w:spacing w:before="120" w:after="120"/>
      </w:pPr>
      <w:r w:rsidRPr="00B71245">
        <w:t xml:space="preserve">The Code generally requires that the labels of packaged food must contain (among other things) nutrition information in accordance with Standard 1.2.8 (see paragraph 1.2.1—8(1)(i)). Standard 1.2.8 requires that packaged food (unless exempted) must include a nutrition information panel (NIP) (section 1.2.8—5). Standard 1.2.8 also contains other requirements relating to NIPs e.g. what information must be included and how to express that information in a NIP (see sections 1.2.8—6 and 1.2.8—7). </w:t>
      </w:r>
      <w:r w:rsidR="000867D4">
        <w:t>Additionally,</w:t>
      </w:r>
      <w:r w:rsidR="00F30226">
        <w:t xml:space="preserve"> electrolyte drinks </w:t>
      </w:r>
      <w:r w:rsidR="000867D4">
        <w:t xml:space="preserve">are currently required by </w:t>
      </w:r>
      <w:r w:rsidR="00FA268A">
        <w:t xml:space="preserve">paragraph </w:t>
      </w:r>
      <w:r w:rsidR="000867D4">
        <w:t>2.6.2</w:t>
      </w:r>
      <w:r w:rsidR="006656D4">
        <w:t>—1</w:t>
      </w:r>
      <w:r w:rsidR="00794E5C">
        <w:t>1(</w:t>
      </w:r>
      <w:r w:rsidR="00FA268A">
        <w:t>1)</w:t>
      </w:r>
      <w:r w:rsidR="00794E5C">
        <w:t>(a)</w:t>
      </w:r>
      <w:r w:rsidR="000867D4">
        <w:t xml:space="preserve"> to include a declaration </w:t>
      </w:r>
      <w:r w:rsidR="007531D3">
        <w:t xml:space="preserve">of the following information </w:t>
      </w:r>
      <w:r w:rsidR="000867D4">
        <w:t xml:space="preserve">on the label of the </w:t>
      </w:r>
      <w:r w:rsidR="007531D3">
        <w:t xml:space="preserve">drink: </w:t>
      </w:r>
      <w:r w:rsidR="000867D4">
        <w:t xml:space="preserve">average energy </w:t>
      </w:r>
      <w:r w:rsidR="0012188E">
        <w:t>content</w:t>
      </w:r>
      <w:r w:rsidR="000867D4">
        <w:t xml:space="preserve">; </w:t>
      </w:r>
      <w:r w:rsidR="00FA268A">
        <w:t>average</w:t>
      </w:r>
      <w:r w:rsidR="000867D4">
        <w:t xml:space="preserve"> </w:t>
      </w:r>
      <w:r w:rsidR="0052629D">
        <w:t>carbohydrate</w:t>
      </w:r>
      <w:r w:rsidR="000867D4">
        <w:t>, including each type of monosaccharide and disaccharide present; and the milligrams and millimoles of added minerals and electrolytes, per 100 mL of the</w:t>
      </w:r>
      <w:r w:rsidR="00F30226">
        <w:t xml:space="preserve"> electrolyte drink </w:t>
      </w:r>
      <w:r w:rsidR="000867D4">
        <w:t xml:space="preserve">as ready to drink. </w:t>
      </w:r>
    </w:p>
    <w:p w14:paraId="001B4E46" w14:textId="43C7080C" w:rsidR="000867D4" w:rsidRDefault="000867D4" w:rsidP="00424BD1">
      <w:pPr>
        <w:widowControl/>
        <w:spacing w:before="120" w:after="120"/>
      </w:pPr>
      <w:r>
        <w:t xml:space="preserve">The draft variation </w:t>
      </w:r>
      <w:r w:rsidR="00423D9F">
        <w:t xml:space="preserve">proposed for </w:t>
      </w:r>
      <w:r>
        <w:t xml:space="preserve">the 2014 </w:t>
      </w:r>
      <w:r w:rsidR="00B205A8">
        <w:t>CFS</w:t>
      </w:r>
      <w:r>
        <w:t xml:space="preserve"> transferred the additional nutrition information requirements for</w:t>
      </w:r>
      <w:r w:rsidR="00F30226">
        <w:t xml:space="preserve"> electrolyte drinks </w:t>
      </w:r>
      <w:r>
        <w:t xml:space="preserve">from Standard 2.6.2 to Standard 2.9.4 and aligned them with the provisions in Standard 1.2.8 for </w:t>
      </w:r>
      <w:r w:rsidR="00B205A8">
        <w:t>NIPs</w:t>
      </w:r>
      <w:r>
        <w:t>. This was to provide consistency in the requirements for the presentation of nutrition information on</w:t>
      </w:r>
      <w:r w:rsidR="00F30226">
        <w:t xml:space="preserve"> electrolyte drink </w:t>
      </w:r>
      <w:r>
        <w:t xml:space="preserve">labels with other food labels, to support consumer use. As requirements to declare the ‘average quantity’ of </w:t>
      </w:r>
      <w:r w:rsidR="0052629D">
        <w:t>carbohydrate</w:t>
      </w:r>
      <w:r w:rsidR="00B205A8">
        <w:t xml:space="preserve"> </w:t>
      </w:r>
      <w:r>
        <w:t xml:space="preserve">and the ‘average energy content’ are already set out in Standard 1.2.8, the requirements to declare carbohydrate and energy </w:t>
      </w:r>
      <w:r w:rsidR="0012142E">
        <w:t xml:space="preserve">in Standard 2.6.2 </w:t>
      </w:r>
      <w:r>
        <w:t xml:space="preserve">were not </w:t>
      </w:r>
      <w:r w:rsidR="00506CFD">
        <w:t xml:space="preserve">retained. </w:t>
      </w:r>
    </w:p>
    <w:p w14:paraId="42106633" w14:textId="5DB3B339" w:rsidR="00FA4641" w:rsidRDefault="00FA4641" w:rsidP="00424BD1">
      <w:pPr>
        <w:widowControl/>
        <w:spacing w:before="120" w:after="120"/>
      </w:pPr>
      <w:r>
        <w:lastRenderedPageBreak/>
        <w:t>O</w:t>
      </w:r>
      <w:r w:rsidRPr="00FA4641">
        <w:t xml:space="preserve">ne submitter (industry) </w:t>
      </w:r>
      <w:r>
        <w:t xml:space="preserve">specifically noted their support </w:t>
      </w:r>
      <w:r w:rsidRPr="00FA4641">
        <w:t xml:space="preserve">for the proposed amendments. However </w:t>
      </w:r>
      <w:r w:rsidR="00A551C7">
        <w:t>another industry submitter</w:t>
      </w:r>
      <w:r w:rsidRPr="00FA4641">
        <w:t xml:space="preserve"> considered that the proposed amendment would require declarations relating to energy, electrolytes and </w:t>
      </w:r>
      <w:r w:rsidR="0052629D">
        <w:t>carbohydrate</w:t>
      </w:r>
      <w:r w:rsidR="00B205A8" w:rsidRPr="00FA4641">
        <w:t xml:space="preserve"> </w:t>
      </w:r>
      <w:r w:rsidRPr="00FA4641">
        <w:t>to be declared in the NIP</w:t>
      </w:r>
      <w:r w:rsidR="001C1073">
        <w:t xml:space="preserve">, </w:t>
      </w:r>
      <w:r w:rsidRPr="00FA4641">
        <w:t xml:space="preserve">including </w:t>
      </w:r>
      <w:r w:rsidR="001C1073">
        <w:t xml:space="preserve">for </w:t>
      </w:r>
      <w:r w:rsidRPr="00FA4641">
        <w:t xml:space="preserve">small packages </w:t>
      </w:r>
      <w:r w:rsidR="001C1073">
        <w:t>and stated</w:t>
      </w:r>
      <w:r w:rsidRPr="00FA4641">
        <w:t xml:space="preserve"> this is currently not the case.</w:t>
      </w:r>
    </w:p>
    <w:p w14:paraId="3296723A" w14:textId="0FD08606" w:rsidR="000867D4" w:rsidRPr="00794E5C" w:rsidRDefault="00794E5C" w:rsidP="00424BD1">
      <w:pPr>
        <w:pStyle w:val="Heading4"/>
        <w:widowControl/>
        <w:spacing w:before="120" w:after="120"/>
      </w:pPr>
      <w:r>
        <w:t>2</w:t>
      </w:r>
      <w:r w:rsidRPr="00794E5C">
        <w:t>.3.7.2</w:t>
      </w:r>
      <w:r w:rsidRPr="00794E5C">
        <w:tab/>
      </w:r>
      <w:r w:rsidR="000867D4" w:rsidRPr="00794E5C">
        <w:t xml:space="preserve">Proposed </w:t>
      </w:r>
      <w:r w:rsidR="005E0DE2">
        <w:t xml:space="preserve">new </w:t>
      </w:r>
      <w:r w:rsidR="000867D4" w:rsidRPr="00794E5C">
        <w:t>approach</w:t>
      </w:r>
    </w:p>
    <w:p w14:paraId="50A8E7A6" w14:textId="34CF6BE6" w:rsidR="000867D4" w:rsidRDefault="000867D4" w:rsidP="00424BD1">
      <w:pPr>
        <w:widowControl/>
        <w:spacing w:before="120" w:after="120"/>
        <w:rPr>
          <w:lang w:eastAsia="en-AU" w:bidi="ar-SA"/>
        </w:rPr>
      </w:pPr>
      <w:r>
        <w:rPr>
          <w:lang w:eastAsia="en-AU" w:bidi="ar-SA"/>
        </w:rPr>
        <w:t xml:space="preserve">The intent for </w:t>
      </w:r>
      <w:r w:rsidR="00386437">
        <w:rPr>
          <w:lang w:eastAsia="en-AU" w:bidi="ar-SA"/>
        </w:rPr>
        <w:t>NIP</w:t>
      </w:r>
      <w:r>
        <w:rPr>
          <w:lang w:eastAsia="en-AU" w:bidi="ar-SA"/>
        </w:rPr>
        <w:t>s on</w:t>
      </w:r>
      <w:r w:rsidR="00F30226">
        <w:rPr>
          <w:lang w:eastAsia="en-AU" w:bidi="ar-SA"/>
        </w:rPr>
        <w:t xml:space="preserve"> electrolyte drinks </w:t>
      </w:r>
      <w:r w:rsidR="00794E5C">
        <w:rPr>
          <w:lang w:eastAsia="en-AU" w:bidi="ar-SA"/>
        </w:rPr>
        <w:t xml:space="preserve">in 2014 </w:t>
      </w:r>
      <w:r w:rsidR="00295F6C">
        <w:rPr>
          <w:lang w:eastAsia="en-AU" w:bidi="ar-SA"/>
        </w:rPr>
        <w:t xml:space="preserve">remains the same for the purposes of the </w:t>
      </w:r>
      <w:r w:rsidR="00D84472">
        <w:rPr>
          <w:lang w:eastAsia="en-AU" w:bidi="ar-SA"/>
        </w:rPr>
        <w:t>example</w:t>
      </w:r>
      <w:r w:rsidR="000F1B55">
        <w:rPr>
          <w:lang w:eastAsia="en-AU" w:bidi="ar-SA"/>
        </w:rPr>
        <w:t xml:space="preserve"> </w:t>
      </w:r>
      <w:r w:rsidR="00295F6C">
        <w:rPr>
          <w:lang w:eastAsia="en-AU" w:bidi="ar-SA"/>
        </w:rPr>
        <w:t>amended draft variation</w:t>
      </w:r>
      <w:r>
        <w:rPr>
          <w:lang w:eastAsia="en-AU" w:bidi="ar-SA"/>
        </w:rPr>
        <w:t xml:space="preserve">, however the relevant </w:t>
      </w:r>
      <w:r w:rsidR="00295F6C">
        <w:rPr>
          <w:lang w:eastAsia="en-AU" w:bidi="ar-SA"/>
        </w:rPr>
        <w:t xml:space="preserve">requirements </w:t>
      </w:r>
      <w:r w:rsidR="00DA2C0C">
        <w:rPr>
          <w:lang w:eastAsia="en-AU" w:bidi="ar-SA"/>
        </w:rPr>
        <w:t>would</w:t>
      </w:r>
      <w:r w:rsidR="00295F6C">
        <w:rPr>
          <w:lang w:eastAsia="en-AU" w:bidi="ar-SA"/>
        </w:rPr>
        <w:t xml:space="preserve"> remain </w:t>
      </w:r>
      <w:r>
        <w:rPr>
          <w:lang w:eastAsia="en-AU" w:bidi="ar-SA"/>
        </w:rPr>
        <w:t xml:space="preserve">in Standard 2.6.2 rather than </w:t>
      </w:r>
      <w:r w:rsidR="007F0C16">
        <w:rPr>
          <w:lang w:eastAsia="en-AU" w:bidi="ar-SA"/>
        </w:rPr>
        <w:t>moved</w:t>
      </w:r>
      <w:r w:rsidR="001F04BF">
        <w:rPr>
          <w:lang w:eastAsia="en-AU" w:bidi="ar-SA"/>
        </w:rPr>
        <w:t xml:space="preserve"> </w:t>
      </w:r>
      <w:r w:rsidR="007F0C16">
        <w:rPr>
          <w:lang w:eastAsia="en-AU" w:bidi="ar-SA"/>
        </w:rPr>
        <w:t>to</w:t>
      </w:r>
      <w:r w:rsidR="001F04BF">
        <w:rPr>
          <w:lang w:eastAsia="en-AU" w:bidi="ar-SA"/>
        </w:rPr>
        <w:t xml:space="preserve"> </w:t>
      </w:r>
      <w:r w:rsidR="00773B64">
        <w:rPr>
          <w:lang w:eastAsia="en-AU" w:bidi="ar-SA"/>
        </w:rPr>
        <w:t xml:space="preserve">Standard </w:t>
      </w:r>
      <w:r>
        <w:rPr>
          <w:lang w:eastAsia="en-AU" w:bidi="ar-SA"/>
        </w:rPr>
        <w:t>2.9.4</w:t>
      </w:r>
      <w:r w:rsidR="00773B64">
        <w:rPr>
          <w:lang w:eastAsia="en-AU" w:bidi="ar-SA"/>
        </w:rPr>
        <w:t>. FSANZ considers that the requirement</w:t>
      </w:r>
      <w:r w:rsidR="00DD5357">
        <w:rPr>
          <w:lang w:eastAsia="en-AU" w:bidi="ar-SA"/>
        </w:rPr>
        <w:t>s</w:t>
      </w:r>
      <w:r w:rsidR="00773B64">
        <w:rPr>
          <w:lang w:eastAsia="en-AU" w:bidi="ar-SA"/>
        </w:rPr>
        <w:t xml:space="preserve"> in Standard</w:t>
      </w:r>
      <w:r w:rsidR="00DD5357">
        <w:rPr>
          <w:lang w:eastAsia="en-AU" w:bidi="ar-SA"/>
        </w:rPr>
        <w:t>s</w:t>
      </w:r>
      <w:r w:rsidR="00773B64">
        <w:rPr>
          <w:lang w:eastAsia="en-AU" w:bidi="ar-SA"/>
        </w:rPr>
        <w:t xml:space="preserve"> 1.2.1 and 1.2.8 to label foods with an NIP currently apply to</w:t>
      </w:r>
      <w:r w:rsidR="00F30226">
        <w:rPr>
          <w:lang w:eastAsia="en-AU" w:bidi="ar-SA"/>
        </w:rPr>
        <w:t xml:space="preserve"> electrolyte drinks </w:t>
      </w:r>
      <w:r w:rsidR="0012188E">
        <w:rPr>
          <w:lang w:eastAsia="en-AU" w:bidi="ar-SA"/>
        </w:rPr>
        <w:t xml:space="preserve">and </w:t>
      </w:r>
      <w:r w:rsidR="00773B64">
        <w:rPr>
          <w:lang w:eastAsia="en-AU" w:bidi="ar-SA"/>
        </w:rPr>
        <w:t xml:space="preserve">are not new. The proposed approach in 2014 was to remove the duplication and inconsistency between the relevant requirements in Standards 1.2.8 and 2.6.2. </w:t>
      </w:r>
    </w:p>
    <w:p w14:paraId="719C8D56" w14:textId="248555B4" w:rsidR="000867D4" w:rsidRDefault="000867D4" w:rsidP="00424BD1">
      <w:pPr>
        <w:widowControl/>
        <w:spacing w:before="120" w:after="120"/>
        <w:rPr>
          <w:lang w:eastAsia="en-AU" w:bidi="ar-SA"/>
        </w:rPr>
      </w:pPr>
      <w:r>
        <w:rPr>
          <w:lang w:eastAsia="en-AU" w:bidi="ar-SA"/>
        </w:rPr>
        <w:t xml:space="preserve">The current requirement in </w:t>
      </w:r>
      <w:r w:rsidR="0047217E">
        <w:rPr>
          <w:lang w:eastAsia="en-AU" w:bidi="ar-SA"/>
        </w:rPr>
        <w:t>sub</w:t>
      </w:r>
      <w:r w:rsidR="00773B64">
        <w:rPr>
          <w:lang w:eastAsia="en-AU" w:bidi="ar-SA"/>
        </w:rPr>
        <w:t>section</w:t>
      </w:r>
      <w:r>
        <w:rPr>
          <w:lang w:eastAsia="en-AU" w:bidi="ar-SA"/>
        </w:rPr>
        <w:t xml:space="preserve"> 2.6.2—11(2) to declare the recommended volume and frequency of use on the labels of</w:t>
      </w:r>
      <w:r w:rsidR="00F30226">
        <w:rPr>
          <w:lang w:eastAsia="en-AU" w:bidi="ar-SA"/>
        </w:rPr>
        <w:t xml:space="preserve"> electrolyte drinks </w:t>
      </w:r>
      <w:r>
        <w:rPr>
          <w:lang w:eastAsia="en-AU" w:bidi="ar-SA"/>
        </w:rPr>
        <w:t>and</w:t>
      </w:r>
      <w:r w:rsidR="00F30226">
        <w:rPr>
          <w:lang w:eastAsia="en-AU" w:bidi="ar-SA"/>
        </w:rPr>
        <w:t xml:space="preserve"> electrolyte drink </w:t>
      </w:r>
      <w:r>
        <w:rPr>
          <w:lang w:eastAsia="en-AU" w:bidi="ar-SA"/>
        </w:rPr>
        <w:t xml:space="preserve">bases was </w:t>
      </w:r>
      <w:r w:rsidR="0051590F">
        <w:rPr>
          <w:lang w:eastAsia="en-AU" w:bidi="ar-SA"/>
        </w:rPr>
        <w:t>inadvertently</w:t>
      </w:r>
      <w:r>
        <w:rPr>
          <w:lang w:eastAsia="en-AU" w:bidi="ar-SA"/>
        </w:rPr>
        <w:t xml:space="preserve"> left out of the draft variation in 2014, however it is proposed that this requirement be retained. </w:t>
      </w:r>
    </w:p>
    <w:p w14:paraId="51497E1F" w14:textId="2E6FB02F" w:rsidR="00E32EAE" w:rsidRDefault="00923BF5" w:rsidP="00424BD1">
      <w:pPr>
        <w:widowControl/>
        <w:spacing w:before="120" w:after="120"/>
        <w:rPr>
          <w:lang w:eastAsia="en-AU" w:bidi="ar-SA"/>
        </w:rPr>
      </w:pPr>
      <w:r>
        <w:rPr>
          <w:lang w:eastAsia="en-AU" w:bidi="ar-SA"/>
        </w:rPr>
        <w:t>In addition to the requirement in Standard 1.2.8 to declare the average quantity of sodium in the NIP, i</w:t>
      </w:r>
      <w:r w:rsidR="00423C34">
        <w:rPr>
          <w:lang w:eastAsia="en-AU" w:bidi="ar-SA"/>
        </w:rPr>
        <w:t xml:space="preserve">t is proposed to require </w:t>
      </w:r>
      <w:r w:rsidR="00E32EAE">
        <w:rPr>
          <w:lang w:eastAsia="en-AU" w:bidi="ar-SA"/>
        </w:rPr>
        <w:t xml:space="preserve">the </w:t>
      </w:r>
      <w:r w:rsidR="00423C34">
        <w:rPr>
          <w:lang w:eastAsia="en-AU" w:bidi="ar-SA"/>
        </w:rPr>
        <w:t xml:space="preserve">declaration of </w:t>
      </w:r>
      <w:r w:rsidR="00690D93">
        <w:rPr>
          <w:lang w:eastAsia="en-AU" w:bidi="ar-SA"/>
        </w:rPr>
        <w:t>the average quantity of</w:t>
      </w:r>
      <w:r w:rsidR="00764A83">
        <w:rPr>
          <w:lang w:eastAsia="en-AU" w:bidi="ar-SA"/>
        </w:rPr>
        <w:t xml:space="preserve"> </w:t>
      </w:r>
      <w:r>
        <w:rPr>
          <w:lang w:eastAsia="en-AU" w:bidi="ar-SA"/>
        </w:rPr>
        <w:t xml:space="preserve">the other ‘prescribed’ </w:t>
      </w:r>
      <w:r w:rsidR="00690D93">
        <w:rPr>
          <w:lang w:eastAsia="en-AU" w:bidi="ar-SA"/>
        </w:rPr>
        <w:t>electrolyte</w:t>
      </w:r>
      <w:r w:rsidR="008D0638">
        <w:rPr>
          <w:lang w:eastAsia="en-AU" w:bidi="ar-SA"/>
        </w:rPr>
        <w:t>s</w:t>
      </w:r>
      <w:r w:rsidR="00690D93">
        <w:rPr>
          <w:lang w:eastAsia="en-AU" w:bidi="ar-SA"/>
        </w:rPr>
        <w:t xml:space="preserve"> </w:t>
      </w:r>
      <w:r w:rsidR="0052629D">
        <w:rPr>
          <w:lang w:eastAsia="en-AU" w:bidi="ar-SA"/>
        </w:rPr>
        <w:t>(chloride, calcium, magnesium</w:t>
      </w:r>
      <w:r w:rsidR="008D0638">
        <w:rPr>
          <w:lang w:eastAsia="en-AU" w:bidi="ar-SA"/>
        </w:rPr>
        <w:t xml:space="preserve"> and potassium)</w:t>
      </w:r>
      <w:r w:rsidRPr="00923BF5">
        <w:rPr>
          <w:lang w:eastAsia="en-AU" w:bidi="ar-SA"/>
        </w:rPr>
        <w:t xml:space="preserve"> </w:t>
      </w:r>
      <w:r>
        <w:rPr>
          <w:lang w:eastAsia="en-AU" w:bidi="ar-SA"/>
        </w:rPr>
        <w:t>in the NIP when added to electrolyte drinks in the form of a mineral salt listed in Standard 2.6.2,</w:t>
      </w:r>
      <w:r w:rsidR="0052629D">
        <w:rPr>
          <w:lang w:eastAsia="en-AU" w:bidi="ar-SA"/>
        </w:rPr>
        <w:t xml:space="preserve"> </w:t>
      </w:r>
      <w:r w:rsidR="00E32EAE">
        <w:rPr>
          <w:lang w:eastAsia="en-AU" w:bidi="ar-SA"/>
        </w:rPr>
        <w:t>i.e.</w:t>
      </w:r>
      <w:r>
        <w:rPr>
          <w:lang w:eastAsia="en-AU" w:bidi="ar-SA"/>
        </w:rPr>
        <w:t xml:space="preserve"> the</w:t>
      </w:r>
      <w:r w:rsidR="00E32EAE">
        <w:rPr>
          <w:lang w:eastAsia="en-AU" w:bidi="ar-SA"/>
        </w:rPr>
        <w:t xml:space="preserve"> total content</w:t>
      </w:r>
      <w:r w:rsidR="007D53F3">
        <w:rPr>
          <w:lang w:eastAsia="en-AU" w:bidi="ar-SA"/>
        </w:rPr>
        <w:t xml:space="preserve"> of each individual </w:t>
      </w:r>
      <w:r w:rsidR="007F0C16">
        <w:rPr>
          <w:lang w:eastAsia="en-AU" w:bidi="ar-SA"/>
        </w:rPr>
        <w:t>electrolyte</w:t>
      </w:r>
      <w:r>
        <w:rPr>
          <w:lang w:eastAsia="en-AU" w:bidi="ar-SA"/>
        </w:rPr>
        <w:t>.</w:t>
      </w:r>
      <w:r w:rsidR="00423C34">
        <w:rPr>
          <w:lang w:eastAsia="en-AU" w:bidi="ar-SA"/>
        </w:rPr>
        <w:t xml:space="preserve"> </w:t>
      </w:r>
      <w:r w:rsidR="00690D93">
        <w:rPr>
          <w:lang w:eastAsia="en-AU" w:bidi="ar-SA"/>
        </w:rPr>
        <w:t xml:space="preserve">The incidental presence of </w:t>
      </w:r>
      <w:r w:rsidR="00764A83">
        <w:rPr>
          <w:lang w:eastAsia="en-AU" w:bidi="ar-SA"/>
        </w:rPr>
        <w:t xml:space="preserve">an </w:t>
      </w:r>
      <w:r w:rsidR="00690D93">
        <w:rPr>
          <w:lang w:eastAsia="en-AU" w:bidi="ar-SA"/>
        </w:rPr>
        <w:t>electrolyte from the use of other ingredients (w</w:t>
      </w:r>
      <w:r w:rsidR="00BF6A7B">
        <w:rPr>
          <w:lang w:eastAsia="en-AU" w:bidi="ar-SA"/>
        </w:rPr>
        <w:t>hen not added as an electrolyte from the list</w:t>
      </w:r>
      <w:r>
        <w:rPr>
          <w:lang w:eastAsia="en-AU" w:bidi="ar-SA"/>
        </w:rPr>
        <w:t xml:space="preserve"> of electrolyte salts permitted to be added to electrolyte drinks</w:t>
      </w:r>
      <w:r w:rsidR="00690D93">
        <w:rPr>
          <w:lang w:eastAsia="en-AU" w:bidi="ar-SA"/>
        </w:rPr>
        <w:t>)</w:t>
      </w:r>
      <w:r w:rsidR="00E32EAE">
        <w:rPr>
          <w:lang w:eastAsia="en-AU" w:bidi="ar-SA"/>
        </w:rPr>
        <w:t xml:space="preserve"> </w:t>
      </w:r>
      <w:r w:rsidR="00690D93">
        <w:rPr>
          <w:lang w:eastAsia="en-AU" w:bidi="ar-SA"/>
        </w:rPr>
        <w:t xml:space="preserve">does not trigger the requirement for </w:t>
      </w:r>
      <w:r w:rsidRPr="00923BF5">
        <w:rPr>
          <w:lang w:eastAsia="en-AU" w:bidi="ar-SA"/>
        </w:rPr>
        <w:t>chloride, calcium, magnesium and potassium</w:t>
      </w:r>
      <w:r w:rsidR="00690D93">
        <w:rPr>
          <w:lang w:eastAsia="en-AU" w:bidi="ar-SA"/>
        </w:rPr>
        <w:t xml:space="preserve"> to be declared in the NIP. </w:t>
      </w:r>
      <w:r w:rsidR="008D0638">
        <w:rPr>
          <w:lang w:eastAsia="en-AU" w:bidi="ar-SA"/>
        </w:rPr>
        <w:t>The average quantity of s</w:t>
      </w:r>
      <w:r w:rsidR="00690D93">
        <w:rPr>
          <w:lang w:eastAsia="en-AU" w:bidi="ar-SA"/>
        </w:rPr>
        <w:t xml:space="preserve">odium however, must always be declared in the NIP, consistent with the requirements currently in Standard 1.2.8 for NIPs. </w:t>
      </w:r>
    </w:p>
    <w:p w14:paraId="5DFCFF96" w14:textId="00B36514" w:rsidR="000867D4" w:rsidRDefault="000867D4" w:rsidP="00424BD1">
      <w:pPr>
        <w:widowControl/>
        <w:spacing w:before="120" w:after="120"/>
      </w:pPr>
      <w:r>
        <w:rPr>
          <w:lang w:eastAsia="en-AU" w:bidi="ar-SA"/>
        </w:rPr>
        <w:t>It is also proposed to exempt</w:t>
      </w:r>
      <w:r w:rsidR="00F30226">
        <w:rPr>
          <w:lang w:eastAsia="en-AU" w:bidi="ar-SA"/>
        </w:rPr>
        <w:t xml:space="preserve"> electrolyte drinks </w:t>
      </w:r>
      <w:r>
        <w:rPr>
          <w:lang w:eastAsia="en-AU" w:bidi="ar-SA"/>
        </w:rPr>
        <w:t xml:space="preserve">from the requirement </w:t>
      </w:r>
      <w:r w:rsidR="009825B8">
        <w:rPr>
          <w:lang w:eastAsia="en-AU" w:bidi="ar-SA"/>
        </w:rPr>
        <w:t xml:space="preserve">in section 1.2.8—9 </w:t>
      </w:r>
      <w:r>
        <w:rPr>
          <w:lang w:eastAsia="en-AU" w:bidi="ar-SA"/>
        </w:rPr>
        <w:t>to declare the percentage RDI of calcium and magnesium</w:t>
      </w:r>
      <w:r w:rsidR="00D74836">
        <w:rPr>
          <w:lang w:eastAsia="en-AU" w:bidi="ar-SA"/>
        </w:rPr>
        <w:t xml:space="preserve"> and also to prohibit referring to an </w:t>
      </w:r>
      <w:r w:rsidR="00D74836" w:rsidRPr="00D74836">
        <w:rPr>
          <w:lang w:eastAsia="en-AU" w:bidi="ar-SA"/>
        </w:rPr>
        <w:t>RDI in relation to an electrolyte drink</w:t>
      </w:r>
      <w:r w:rsidR="009825B8">
        <w:rPr>
          <w:lang w:eastAsia="en-AU" w:bidi="ar-SA"/>
        </w:rPr>
        <w:t>.</w:t>
      </w:r>
      <w:r>
        <w:rPr>
          <w:lang w:eastAsia="en-AU" w:bidi="ar-SA"/>
        </w:rPr>
        <w:t xml:space="preserve"> This </w:t>
      </w:r>
      <w:r w:rsidR="00DD5357">
        <w:rPr>
          <w:lang w:eastAsia="en-AU" w:bidi="ar-SA"/>
        </w:rPr>
        <w:t>is intended to reduce consumer</w:t>
      </w:r>
      <w:r>
        <w:rPr>
          <w:lang w:eastAsia="en-AU" w:bidi="ar-SA"/>
        </w:rPr>
        <w:t xml:space="preserve"> confusion about whether or not these are </w:t>
      </w:r>
      <w:r w:rsidR="006B45F5">
        <w:rPr>
          <w:lang w:eastAsia="en-AU" w:bidi="ar-SA"/>
        </w:rPr>
        <w:t xml:space="preserve">functioning as </w:t>
      </w:r>
      <w:r>
        <w:rPr>
          <w:lang w:eastAsia="en-AU" w:bidi="ar-SA"/>
        </w:rPr>
        <w:t xml:space="preserve">minerals. </w:t>
      </w:r>
      <w:r w:rsidR="00DD5357">
        <w:rPr>
          <w:lang w:eastAsia="en-AU" w:bidi="ar-SA"/>
        </w:rPr>
        <w:t>Calcium and magnesium are permitted to be added to</w:t>
      </w:r>
      <w:r w:rsidR="00F30226">
        <w:rPr>
          <w:lang w:eastAsia="en-AU" w:bidi="ar-SA"/>
        </w:rPr>
        <w:t xml:space="preserve"> electrolyte drinks </w:t>
      </w:r>
      <w:r w:rsidR="00DD5357">
        <w:rPr>
          <w:lang w:eastAsia="en-AU" w:bidi="ar-SA"/>
        </w:rPr>
        <w:t xml:space="preserve">to function as electrolytes, however the requirements for RDIs in the Code are based on their function in the body as minerals. </w:t>
      </w:r>
      <w:r>
        <w:rPr>
          <w:lang w:eastAsia="en-AU" w:bidi="ar-SA"/>
        </w:rPr>
        <w:t xml:space="preserve">FSANZ </w:t>
      </w:r>
      <w:r w:rsidR="0047217E">
        <w:rPr>
          <w:lang w:eastAsia="en-AU" w:bidi="ar-SA"/>
        </w:rPr>
        <w:t>therefore</w:t>
      </w:r>
      <w:r>
        <w:rPr>
          <w:lang w:eastAsia="en-AU" w:bidi="ar-SA"/>
        </w:rPr>
        <w:t xml:space="preserve"> considers that percentage RDI declarations are not relevant in the context of</w:t>
      </w:r>
      <w:r w:rsidR="0052629D">
        <w:rPr>
          <w:lang w:eastAsia="en-AU" w:bidi="ar-SA"/>
        </w:rPr>
        <w:t xml:space="preserve"> electrolyte drinks.</w:t>
      </w:r>
      <w:r>
        <w:rPr>
          <w:lang w:eastAsia="en-AU" w:bidi="ar-SA"/>
        </w:rPr>
        <w:t xml:space="preserve">   </w:t>
      </w:r>
      <w:r>
        <w:t xml:space="preserve"> </w:t>
      </w:r>
    </w:p>
    <w:p w14:paraId="0D1A095A" w14:textId="1ABD8B45" w:rsidR="000867D4" w:rsidRDefault="000867D4" w:rsidP="00424BD1">
      <w:pPr>
        <w:widowControl/>
        <w:spacing w:before="120" w:after="120"/>
      </w:pPr>
      <w:r>
        <w:t xml:space="preserve">Furthermore, FSANZ proposes that the existing requirement in </w:t>
      </w:r>
      <w:r w:rsidR="009825B8">
        <w:t>paragraph</w:t>
      </w:r>
      <w:r>
        <w:t xml:space="preserve"> 2.6.2—11</w:t>
      </w:r>
      <w:r w:rsidR="004D28DE">
        <w:t>(1)</w:t>
      </w:r>
      <w:r>
        <w:t>(a)(iii) to declare add</w:t>
      </w:r>
      <w:r w:rsidRPr="009825B8">
        <w:t>ed minerals</w:t>
      </w:r>
      <w:r>
        <w:t xml:space="preserve"> and electrolytes in millimoles is removed. </w:t>
      </w:r>
      <w:r w:rsidR="009825B8">
        <w:t xml:space="preserve">Instead, electrolytes </w:t>
      </w:r>
      <w:r w:rsidR="00DA2C0C">
        <w:t>would</w:t>
      </w:r>
      <w:r w:rsidR="009825B8">
        <w:t xml:space="preserve"> be required to be declared in milligrams (mg) with additional use of millimoles optional (</w:t>
      </w:r>
      <w:r w:rsidR="009825B8" w:rsidRPr="002F2023">
        <w:t xml:space="preserve">reference to </w:t>
      </w:r>
      <w:r w:rsidR="0047217E" w:rsidRPr="002F2023">
        <w:t>‘</w:t>
      </w:r>
      <w:r w:rsidR="009825B8" w:rsidRPr="002F2023">
        <w:t>minerals</w:t>
      </w:r>
      <w:r w:rsidR="0047217E" w:rsidRPr="002F2023">
        <w:t>’</w:t>
      </w:r>
      <w:r w:rsidR="009825B8" w:rsidRPr="002F2023">
        <w:t xml:space="preserve"> is removed from the </w:t>
      </w:r>
      <w:r w:rsidR="00DD5357" w:rsidRPr="002F2023">
        <w:t>S</w:t>
      </w:r>
      <w:r w:rsidR="009825B8" w:rsidRPr="002F2023">
        <w:t xml:space="preserve">tandard as described in </w:t>
      </w:r>
      <w:r w:rsidR="004D28DE">
        <w:t>S</w:t>
      </w:r>
      <w:r w:rsidR="004D28DE" w:rsidRPr="002F2023">
        <w:t>ection</w:t>
      </w:r>
      <w:r w:rsidR="004D28DE">
        <w:t xml:space="preserve">s </w:t>
      </w:r>
      <w:r w:rsidR="002F2023">
        <w:t>2.3.4 and</w:t>
      </w:r>
      <w:r w:rsidR="009825B8" w:rsidRPr="002F2023">
        <w:t xml:space="preserve"> </w:t>
      </w:r>
      <w:r w:rsidR="00666B2D" w:rsidRPr="002F2023">
        <w:t>2.3.6</w:t>
      </w:r>
      <w:r w:rsidR="004D28DE">
        <w:t xml:space="preserve"> of this </w:t>
      </w:r>
      <w:r w:rsidR="00417F12">
        <w:t>C</w:t>
      </w:r>
      <w:r w:rsidR="003C0990">
        <w:t xml:space="preserve">onsultation </w:t>
      </w:r>
      <w:r w:rsidR="004D28DE">
        <w:t>paper</w:t>
      </w:r>
      <w:r w:rsidR="009825B8" w:rsidRPr="002F2023">
        <w:t>).</w:t>
      </w:r>
      <w:r w:rsidR="009825B8">
        <w:t xml:space="preserve"> </w:t>
      </w:r>
      <w:r>
        <w:t xml:space="preserve">This </w:t>
      </w:r>
      <w:r w:rsidR="009825B8">
        <w:t xml:space="preserve">fits better with the prescribed layout of the </w:t>
      </w:r>
      <w:r w:rsidR="00386437">
        <w:t>NIP</w:t>
      </w:r>
      <w:r w:rsidR="009825B8">
        <w:t>, is consistent with the requirement for the declaration of sodium in Standard</w:t>
      </w:r>
      <w:r w:rsidR="00794E5C">
        <w:t xml:space="preserve"> </w:t>
      </w:r>
      <w:r w:rsidR="009825B8">
        <w:t xml:space="preserve">1.2.8 and </w:t>
      </w:r>
      <w:r>
        <w:t>offers</w:t>
      </w:r>
      <w:r w:rsidR="009825B8">
        <w:t xml:space="preserve"> some</w:t>
      </w:r>
      <w:r>
        <w:t xml:space="preserve"> flexibility</w:t>
      </w:r>
      <w:r w:rsidR="005E6355">
        <w:t xml:space="preserve"> for industry</w:t>
      </w:r>
      <w:r w:rsidR="009825B8">
        <w:t>.</w:t>
      </w:r>
    </w:p>
    <w:p w14:paraId="010F5989" w14:textId="372E8332" w:rsidR="00906C37" w:rsidRDefault="00906C37" w:rsidP="00424BD1">
      <w:pPr>
        <w:widowControl/>
        <w:spacing w:before="120" w:after="120"/>
      </w:pPr>
      <w:r w:rsidRPr="00E32EAE">
        <w:t xml:space="preserve">FSANZ also proposes that the requirement in Standard 1.2.8 to declare the average quantity of potassium of the food if </w:t>
      </w:r>
      <w:r w:rsidR="00A160D7">
        <w:t xml:space="preserve">a </w:t>
      </w:r>
      <w:r w:rsidRPr="00E32EAE">
        <w:t xml:space="preserve">nutrition content or health claim is made about sodium </w:t>
      </w:r>
      <w:r w:rsidR="00DA2C0C">
        <w:t>would</w:t>
      </w:r>
      <w:r w:rsidRPr="00E32EAE">
        <w:t xml:space="preserve"> not apply. As outlined above, potassium is required to be declared in the NIP if </w:t>
      </w:r>
      <w:r w:rsidR="00C639EE" w:rsidRPr="00E32EAE">
        <w:t xml:space="preserve">added to the </w:t>
      </w:r>
      <w:r w:rsidR="003769B0">
        <w:t>electrolyte drink</w:t>
      </w:r>
      <w:r w:rsidR="00C639EE" w:rsidRPr="00E32EAE">
        <w:t xml:space="preserve">, and FSANZ considers it could be confusing for consumers </w:t>
      </w:r>
      <w:r w:rsidR="004A0ED2" w:rsidRPr="00E32EAE">
        <w:t>in the context of</w:t>
      </w:r>
      <w:r w:rsidR="00F30226">
        <w:t xml:space="preserve"> electrolyte drinks </w:t>
      </w:r>
      <w:r w:rsidR="00C639EE" w:rsidRPr="00E32EAE">
        <w:t>if it is declared in the NIP in minimal amounts (if not added as an</w:t>
      </w:r>
      <w:r w:rsidR="002C1ED0" w:rsidRPr="00E32EAE">
        <w:t xml:space="preserve"> electrolyte</w:t>
      </w:r>
      <w:r w:rsidR="00C639EE" w:rsidRPr="00E32EAE">
        <w:t>).</w:t>
      </w:r>
    </w:p>
    <w:p w14:paraId="426B2044" w14:textId="701BCD91" w:rsidR="007E2851" w:rsidRDefault="007E2851" w:rsidP="00424BD1">
      <w:pPr>
        <w:widowControl/>
        <w:spacing w:before="120" w:after="120"/>
      </w:pPr>
      <w:r>
        <w:lastRenderedPageBreak/>
        <w:t>For electrolyte drinks that are exempt from the requirement to bear a label (under subsection 1.2.1—6(1), for example, an</w:t>
      </w:r>
      <w:r w:rsidR="00F30226">
        <w:t xml:space="preserve"> electrolyte drink </w:t>
      </w:r>
      <w:r>
        <w:t xml:space="preserve">poured into a glass in the presence of the purchaser), the existing requirements in Standard 1.2.1 for NIPs </w:t>
      </w:r>
      <w:r w:rsidR="00DA2C0C">
        <w:t>would</w:t>
      </w:r>
      <w:r>
        <w:t xml:space="preserve"> apply</w:t>
      </w:r>
      <w:r w:rsidR="00091254">
        <w:t xml:space="preserve">. This means that if a nutrition content or health claim is made about the </w:t>
      </w:r>
      <w:r w:rsidR="003769B0">
        <w:t>electrolyte drink</w:t>
      </w:r>
      <w:r w:rsidR="00091254">
        <w:t xml:space="preserve">, </w:t>
      </w:r>
      <w:r>
        <w:t xml:space="preserve">the information </w:t>
      </w:r>
      <w:r w:rsidR="00091254">
        <w:t xml:space="preserve">required for </w:t>
      </w:r>
      <w:r w:rsidR="00C50293">
        <w:t>an NIP</w:t>
      </w:r>
      <w:r w:rsidR="00091254">
        <w:t xml:space="preserve"> (</w:t>
      </w:r>
      <w:r w:rsidR="00865227">
        <w:t xml:space="preserve">see </w:t>
      </w:r>
      <w:r w:rsidR="00091254">
        <w:t>Standard</w:t>
      </w:r>
      <w:r w:rsidR="009170A1">
        <w:t>s</w:t>
      </w:r>
      <w:r w:rsidR="00091254">
        <w:t xml:space="preserve"> 1.2.8 and 2.6.2) must be displayed in connection with the display of the food or provided to the purchaser upon request (subsection</w:t>
      </w:r>
      <w:r w:rsidR="003C0990">
        <w:t>s</w:t>
      </w:r>
      <w:r w:rsidR="00091254">
        <w:t xml:space="preserve"> 1.2.1—9(6) and (7)). </w:t>
      </w:r>
      <w:r>
        <w:t xml:space="preserve"> </w:t>
      </w:r>
    </w:p>
    <w:p w14:paraId="69EDBB4E" w14:textId="21CBF85F" w:rsidR="00906C37" w:rsidRDefault="008C7923" w:rsidP="00906C37">
      <w:pPr>
        <w:widowControl/>
        <w:spacing w:before="120" w:after="120"/>
        <w:rPr>
          <w:lang w:eastAsia="en-AU"/>
        </w:rPr>
      </w:pPr>
      <w:r>
        <w:rPr>
          <w:lang w:eastAsia="en-AU" w:bidi="ar-SA"/>
        </w:rPr>
        <w:t>Additionally, the current exemption from the requirement to include an NIP on the label of an</w:t>
      </w:r>
      <w:r w:rsidR="00F30226">
        <w:rPr>
          <w:lang w:eastAsia="en-AU" w:bidi="ar-SA"/>
        </w:rPr>
        <w:t xml:space="preserve"> electrolyte drink </w:t>
      </w:r>
      <w:r>
        <w:rPr>
          <w:lang w:eastAsia="en-AU" w:bidi="ar-SA"/>
        </w:rPr>
        <w:t>or</w:t>
      </w:r>
      <w:r w:rsidR="00F30226">
        <w:rPr>
          <w:lang w:eastAsia="en-AU" w:bidi="ar-SA"/>
        </w:rPr>
        <w:t xml:space="preserve"> electrolyte drink </w:t>
      </w:r>
      <w:r>
        <w:rPr>
          <w:lang w:eastAsia="en-AU" w:bidi="ar-SA"/>
        </w:rPr>
        <w:t>base in a small package (in Standard 1.2.8) is proposed to continue to apply, and specific conditions for nutrition information on small packages of</w:t>
      </w:r>
      <w:r w:rsidR="00F30226">
        <w:rPr>
          <w:lang w:eastAsia="en-AU" w:bidi="ar-SA"/>
        </w:rPr>
        <w:t xml:space="preserve"> electrolyte drinks </w:t>
      </w:r>
      <w:r>
        <w:rPr>
          <w:lang w:eastAsia="en-AU" w:bidi="ar-SA"/>
        </w:rPr>
        <w:t xml:space="preserve">are now proposed. These conditions </w:t>
      </w:r>
      <w:r w:rsidR="00791966">
        <w:rPr>
          <w:lang w:eastAsia="en-AU" w:bidi="ar-SA"/>
        </w:rPr>
        <w:t xml:space="preserve">would </w:t>
      </w:r>
      <w:r>
        <w:rPr>
          <w:lang w:eastAsia="en-AU" w:bidi="ar-SA"/>
        </w:rPr>
        <w:t>apply only if nutrition content or health claims are made about the</w:t>
      </w:r>
      <w:r w:rsidR="00F30226">
        <w:rPr>
          <w:lang w:eastAsia="en-AU" w:bidi="ar-SA"/>
        </w:rPr>
        <w:t xml:space="preserve"> electrolyte drink </w:t>
      </w:r>
      <w:r>
        <w:rPr>
          <w:lang w:eastAsia="en-AU" w:bidi="ar-SA"/>
        </w:rPr>
        <w:t xml:space="preserve">and are consistent with the conditions currently applying to small packages in section 1.2.8—14 and Schedule 13, except as they apply to claims about </w:t>
      </w:r>
      <w:r w:rsidR="0066257E">
        <w:rPr>
          <w:lang w:eastAsia="en-AU" w:bidi="ar-SA"/>
        </w:rPr>
        <w:t xml:space="preserve">prescribed </w:t>
      </w:r>
      <w:r>
        <w:rPr>
          <w:lang w:eastAsia="en-AU" w:bidi="ar-SA"/>
        </w:rPr>
        <w:t xml:space="preserve">electrolytes. The </w:t>
      </w:r>
      <w:r w:rsidR="001B4D2E">
        <w:rPr>
          <w:lang w:eastAsia="en-AU" w:bidi="ar-SA"/>
        </w:rPr>
        <w:t>conditions in section 1.2.8—14</w:t>
      </w:r>
      <w:r>
        <w:rPr>
          <w:lang w:eastAsia="en-AU" w:bidi="ar-SA"/>
        </w:rPr>
        <w:t xml:space="preserve"> include </w:t>
      </w:r>
      <w:r w:rsidR="001B4D2E">
        <w:rPr>
          <w:lang w:eastAsia="en-AU" w:bidi="ar-SA"/>
        </w:rPr>
        <w:t xml:space="preserve">a requirement to declare </w:t>
      </w:r>
      <w:r>
        <w:rPr>
          <w:lang w:eastAsia="en-AU" w:bidi="ar-SA"/>
        </w:rPr>
        <w:t xml:space="preserve">the </w:t>
      </w:r>
      <w:r>
        <w:rPr>
          <w:lang w:eastAsia="en-AU"/>
        </w:rPr>
        <w:t xml:space="preserve">average quantity of </w:t>
      </w:r>
      <w:r w:rsidR="001B4D2E">
        <w:rPr>
          <w:lang w:eastAsia="en-AU"/>
        </w:rPr>
        <w:t xml:space="preserve">a </w:t>
      </w:r>
      <w:r>
        <w:rPr>
          <w:lang w:eastAsia="en-AU"/>
        </w:rPr>
        <w:t xml:space="preserve">serving </w:t>
      </w:r>
      <w:r w:rsidR="00725944">
        <w:rPr>
          <w:lang w:eastAsia="en-AU"/>
        </w:rPr>
        <w:t xml:space="preserve">and the quantities </w:t>
      </w:r>
      <w:r w:rsidR="0066257E">
        <w:rPr>
          <w:lang w:eastAsia="en-AU"/>
        </w:rPr>
        <w:t>of</w:t>
      </w:r>
      <w:r w:rsidR="00725944">
        <w:rPr>
          <w:lang w:eastAsia="en-AU"/>
        </w:rPr>
        <w:t xml:space="preserve"> certain claimed nutrients and energy per serving, if </w:t>
      </w:r>
      <w:r w:rsidR="000D270C">
        <w:rPr>
          <w:lang w:eastAsia="en-AU"/>
        </w:rPr>
        <w:t xml:space="preserve">a </w:t>
      </w:r>
      <w:r w:rsidR="00BF0B2E">
        <w:rPr>
          <w:lang w:eastAsia="en-AU"/>
        </w:rPr>
        <w:t>nutrition content or health claim</w:t>
      </w:r>
      <w:r w:rsidR="000D270C">
        <w:rPr>
          <w:lang w:eastAsia="en-AU"/>
        </w:rPr>
        <w:t xml:space="preserve"> is made</w:t>
      </w:r>
      <w:r w:rsidR="00725944">
        <w:rPr>
          <w:lang w:eastAsia="en-AU"/>
        </w:rPr>
        <w:t xml:space="preserve">. </w:t>
      </w:r>
      <w:r>
        <w:rPr>
          <w:lang w:eastAsia="en-AU"/>
        </w:rPr>
        <w:t xml:space="preserve"> For </w:t>
      </w:r>
      <w:r w:rsidR="00FD328C">
        <w:rPr>
          <w:lang w:eastAsia="en-AU"/>
        </w:rPr>
        <w:t>nutrition content</w:t>
      </w:r>
      <w:r w:rsidR="0075027A">
        <w:rPr>
          <w:lang w:eastAsia="en-AU"/>
        </w:rPr>
        <w:t xml:space="preserve"> and health</w:t>
      </w:r>
      <w:r w:rsidR="00FD328C">
        <w:rPr>
          <w:lang w:eastAsia="en-AU"/>
        </w:rPr>
        <w:t xml:space="preserve"> </w:t>
      </w:r>
      <w:r>
        <w:rPr>
          <w:lang w:eastAsia="en-AU"/>
        </w:rPr>
        <w:t>claims about electrolytes on</w:t>
      </w:r>
      <w:r w:rsidR="00F30226">
        <w:rPr>
          <w:lang w:eastAsia="en-AU"/>
        </w:rPr>
        <w:t xml:space="preserve"> electrolyte drinks </w:t>
      </w:r>
      <w:r>
        <w:rPr>
          <w:lang w:eastAsia="en-AU"/>
        </w:rPr>
        <w:t xml:space="preserve">sold in a small package, the requirements in </w:t>
      </w:r>
      <w:r w:rsidR="009170A1">
        <w:rPr>
          <w:lang w:eastAsia="en-AU"/>
        </w:rPr>
        <w:t>paragraph</w:t>
      </w:r>
      <w:r w:rsidRPr="00170DE0">
        <w:rPr>
          <w:lang w:eastAsia="en-AU"/>
        </w:rPr>
        <w:t xml:space="preserve"> 1.2.8—14</w:t>
      </w:r>
      <w:r w:rsidR="009170A1">
        <w:rPr>
          <w:lang w:eastAsia="en-AU"/>
        </w:rPr>
        <w:t>(1)(b)</w:t>
      </w:r>
      <w:r w:rsidR="00FB0760">
        <w:rPr>
          <w:lang w:eastAsia="en-AU"/>
        </w:rPr>
        <w:t>,</w:t>
      </w:r>
      <w:r w:rsidRPr="00170DE0">
        <w:rPr>
          <w:lang w:eastAsia="en-AU"/>
        </w:rPr>
        <w:t xml:space="preserve"> and</w:t>
      </w:r>
      <w:r w:rsidR="00FB0760">
        <w:rPr>
          <w:lang w:eastAsia="en-AU"/>
        </w:rPr>
        <w:t xml:space="preserve"> therefore</w:t>
      </w:r>
      <w:r w:rsidRPr="00170DE0">
        <w:rPr>
          <w:lang w:eastAsia="en-AU"/>
        </w:rPr>
        <w:t xml:space="preserve"> Schedule 13</w:t>
      </w:r>
      <w:r w:rsidR="00FB0760">
        <w:rPr>
          <w:lang w:eastAsia="en-AU"/>
        </w:rPr>
        <w:t>,</w:t>
      </w:r>
      <w:r>
        <w:rPr>
          <w:lang w:eastAsia="en-AU"/>
        </w:rPr>
        <w:t xml:space="preserve"> do not apply and specific requirements to declare the </w:t>
      </w:r>
      <w:r w:rsidRPr="008C7923">
        <w:rPr>
          <w:lang w:eastAsia="en-AU"/>
        </w:rPr>
        <w:t>average quantity per serving of each electrolyte present</w:t>
      </w:r>
      <w:r>
        <w:rPr>
          <w:lang w:eastAsia="en-AU"/>
        </w:rPr>
        <w:t xml:space="preserve"> (in mg with </w:t>
      </w:r>
      <w:r w:rsidRPr="008C7923">
        <w:rPr>
          <w:lang w:eastAsia="en-AU"/>
        </w:rPr>
        <w:t>additional use of millimoles optional</w:t>
      </w:r>
      <w:r>
        <w:rPr>
          <w:lang w:eastAsia="en-AU"/>
        </w:rPr>
        <w:t>)</w:t>
      </w:r>
      <w:r w:rsidRPr="008C7923">
        <w:rPr>
          <w:lang w:eastAsia="en-AU"/>
        </w:rPr>
        <w:t xml:space="preserve"> </w:t>
      </w:r>
      <w:r>
        <w:rPr>
          <w:lang w:eastAsia="en-AU"/>
        </w:rPr>
        <w:t xml:space="preserve">are included in the </w:t>
      </w:r>
      <w:r w:rsidR="00BD0B14">
        <w:rPr>
          <w:lang w:eastAsia="en-AU"/>
        </w:rPr>
        <w:t>example</w:t>
      </w:r>
      <w:r w:rsidR="007022BD">
        <w:rPr>
          <w:lang w:eastAsia="en-AU"/>
        </w:rPr>
        <w:t xml:space="preserve"> </w:t>
      </w:r>
      <w:r w:rsidR="003878CE">
        <w:rPr>
          <w:lang w:eastAsia="en-AU"/>
        </w:rPr>
        <w:t>amended draft variation</w:t>
      </w:r>
      <w:r>
        <w:rPr>
          <w:lang w:eastAsia="en-AU"/>
        </w:rPr>
        <w:t>. This means that the</w:t>
      </w:r>
      <w:r w:rsidR="009170A1">
        <w:rPr>
          <w:lang w:eastAsia="en-AU"/>
        </w:rPr>
        <w:t xml:space="preserve"> </w:t>
      </w:r>
      <w:r>
        <w:rPr>
          <w:lang w:eastAsia="en-AU"/>
        </w:rPr>
        <w:t>requirements in S</w:t>
      </w:r>
      <w:r w:rsidR="00FB0760">
        <w:rPr>
          <w:lang w:eastAsia="en-AU"/>
        </w:rPr>
        <w:t xml:space="preserve">chedule </w:t>
      </w:r>
      <w:r>
        <w:rPr>
          <w:lang w:eastAsia="en-AU"/>
        </w:rPr>
        <w:t>13 to declare</w:t>
      </w:r>
      <w:r w:rsidR="00FB0760">
        <w:rPr>
          <w:lang w:eastAsia="en-AU"/>
        </w:rPr>
        <w:t>, for example</w:t>
      </w:r>
      <w:r w:rsidR="00906C37">
        <w:rPr>
          <w:lang w:eastAsia="en-AU"/>
        </w:rPr>
        <w:t>:</w:t>
      </w:r>
    </w:p>
    <w:p w14:paraId="359B6128" w14:textId="36A6CF42" w:rsidR="009170A1" w:rsidRDefault="008C7923" w:rsidP="00F4595D">
      <w:pPr>
        <w:pStyle w:val="FSBullet1"/>
      </w:pPr>
      <w:r>
        <w:rPr>
          <w:lang w:eastAsia="en-AU"/>
        </w:rPr>
        <w:t>the percentage of the RDI</w:t>
      </w:r>
      <w:r w:rsidR="00906C37">
        <w:rPr>
          <w:lang w:eastAsia="en-AU"/>
        </w:rPr>
        <w:t xml:space="preserve"> of minerals (</w:t>
      </w:r>
      <w:r>
        <w:rPr>
          <w:lang w:eastAsia="en-AU"/>
        </w:rPr>
        <w:t>calcium and magnesium</w:t>
      </w:r>
      <w:r w:rsidR="00906C37">
        <w:rPr>
          <w:lang w:eastAsia="en-AU"/>
        </w:rPr>
        <w:t>)</w:t>
      </w:r>
    </w:p>
    <w:p w14:paraId="0141FD39" w14:textId="3869ED4B" w:rsidR="00906C37" w:rsidRDefault="008C7923" w:rsidP="00F4595D">
      <w:pPr>
        <w:pStyle w:val="FSBullet1"/>
        <w:rPr>
          <w:lang w:eastAsia="en-AU"/>
        </w:rPr>
      </w:pPr>
      <w:r>
        <w:rPr>
          <w:lang w:eastAsia="en-AU"/>
        </w:rPr>
        <w:t>potassium when a claim about sodium is made</w:t>
      </w:r>
    </w:p>
    <w:p w14:paraId="0D1F7D39" w14:textId="104BCE44" w:rsidR="00906C37" w:rsidRDefault="008C7923" w:rsidP="00F4595D">
      <w:pPr>
        <w:pStyle w:val="FSBullet1"/>
      </w:pPr>
      <w:r>
        <w:rPr>
          <w:lang w:eastAsia="en-AU"/>
        </w:rPr>
        <w:t>sodium</w:t>
      </w:r>
      <w:r w:rsidR="007E2851">
        <w:rPr>
          <w:lang w:eastAsia="en-AU"/>
        </w:rPr>
        <w:t xml:space="preserve"> </w:t>
      </w:r>
      <w:r>
        <w:rPr>
          <w:lang w:eastAsia="en-AU"/>
        </w:rPr>
        <w:t>when a clai</w:t>
      </w:r>
      <w:r w:rsidR="007E2851">
        <w:rPr>
          <w:lang w:eastAsia="en-AU"/>
        </w:rPr>
        <w:t>m</w:t>
      </w:r>
      <w:r>
        <w:rPr>
          <w:lang w:eastAsia="en-AU"/>
        </w:rPr>
        <w:t xml:space="preserve"> about potassium is made</w:t>
      </w:r>
      <w:r w:rsidR="00E5510B">
        <w:rPr>
          <w:lang w:eastAsia="en-AU"/>
        </w:rPr>
        <w:t>,</w:t>
      </w:r>
    </w:p>
    <w:p w14:paraId="55949F0E" w14:textId="77777777" w:rsidR="00FB0760" w:rsidRDefault="00FB0760" w:rsidP="00F4595D">
      <w:pPr>
        <w:pStyle w:val="FSBullet1"/>
        <w:numPr>
          <w:ilvl w:val="0"/>
          <w:numId w:val="0"/>
        </w:numPr>
        <w:rPr>
          <w:lang w:eastAsia="en-AU"/>
        </w:rPr>
      </w:pPr>
    </w:p>
    <w:p w14:paraId="5F85074C" w14:textId="2C3EB812" w:rsidR="008C7923" w:rsidRDefault="00791966" w:rsidP="00F4595D">
      <w:pPr>
        <w:pStyle w:val="FSBullet1"/>
        <w:numPr>
          <w:ilvl w:val="0"/>
          <w:numId w:val="0"/>
        </w:numPr>
        <w:rPr>
          <w:lang w:eastAsia="en-AU"/>
        </w:rPr>
      </w:pPr>
      <w:r>
        <w:rPr>
          <w:lang w:eastAsia="en-AU"/>
        </w:rPr>
        <w:t xml:space="preserve">would </w:t>
      </w:r>
      <w:r w:rsidR="00906C37">
        <w:rPr>
          <w:lang w:eastAsia="en-AU"/>
        </w:rPr>
        <w:t>not apply</w:t>
      </w:r>
      <w:r w:rsidR="00FB0760">
        <w:rPr>
          <w:lang w:eastAsia="en-AU"/>
        </w:rPr>
        <w:t xml:space="preserve"> when the electrolyte drink or electrolyte drink base </w:t>
      </w:r>
      <w:r w:rsidR="00E5510B">
        <w:rPr>
          <w:lang w:eastAsia="en-AU"/>
        </w:rPr>
        <w:t xml:space="preserve">is </w:t>
      </w:r>
      <w:r w:rsidR="00FB0760">
        <w:rPr>
          <w:lang w:eastAsia="en-AU"/>
        </w:rPr>
        <w:t>in a small package</w:t>
      </w:r>
      <w:r w:rsidR="00906C37">
        <w:rPr>
          <w:lang w:eastAsia="en-AU"/>
        </w:rPr>
        <w:t xml:space="preserve">, </w:t>
      </w:r>
      <w:r w:rsidR="008C7923">
        <w:rPr>
          <w:lang w:eastAsia="en-AU"/>
        </w:rPr>
        <w:t xml:space="preserve">consistent with the approach outlined above for NIPs. </w:t>
      </w:r>
    </w:p>
    <w:p w14:paraId="521B1736" w14:textId="2EADED8F" w:rsidR="00E9556D" w:rsidRPr="0085457E" w:rsidRDefault="0047217E" w:rsidP="00803905">
      <w:pPr>
        <w:pStyle w:val="Heading3"/>
      </w:pPr>
      <w:bookmarkStart w:id="199" w:name="_Toc60825008"/>
      <w:bookmarkStart w:id="200" w:name="_Toc71711639"/>
      <w:bookmarkStart w:id="201" w:name="_Toc72673573"/>
      <w:r>
        <w:t>2.3.8</w:t>
      </w:r>
      <w:r>
        <w:tab/>
      </w:r>
      <w:r w:rsidR="00E9556D" w:rsidRPr="0085457E">
        <w:t xml:space="preserve">Claims in relation to the tonicity of </w:t>
      </w:r>
      <w:bookmarkEnd w:id="199"/>
      <w:r w:rsidR="00CF3C9B">
        <w:t>electrolyte drink</w:t>
      </w:r>
      <w:r w:rsidR="00CF3C9B" w:rsidRPr="0085457E">
        <w:t>s</w:t>
      </w:r>
      <w:bookmarkEnd w:id="200"/>
      <w:bookmarkEnd w:id="201"/>
    </w:p>
    <w:p w14:paraId="49B909D0" w14:textId="052C569A" w:rsidR="00DF3763" w:rsidRPr="006656D4" w:rsidRDefault="00DF3763" w:rsidP="00DF3763">
      <w:pPr>
        <w:pStyle w:val="Heading4"/>
        <w:rPr>
          <w:lang w:eastAsia="en-AU"/>
        </w:rPr>
      </w:pPr>
      <w:r w:rsidRPr="006656D4">
        <w:rPr>
          <w:lang w:eastAsia="en-AU"/>
        </w:rPr>
        <w:t>2.</w:t>
      </w:r>
      <w:r>
        <w:rPr>
          <w:lang w:eastAsia="en-AU"/>
        </w:rPr>
        <w:t>3.8.1</w:t>
      </w:r>
      <w:r w:rsidRPr="006656D4">
        <w:rPr>
          <w:lang w:eastAsia="en-AU"/>
        </w:rPr>
        <w:tab/>
        <w:t>Approach in 2014 Call for submissions</w:t>
      </w:r>
    </w:p>
    <w:p w14:paraId="52FFE035" w14:textId="2654F278" w:rsidR="00907923" w:rsidRDefault="00907923" w:rsidP="00DF3763">
      <w:pPr>
        <w:rPr>
          <w:lang w:eastAsia="en-AU" w:bidi="ar-SA"/>
        </w:rPr>
      </w:pPr>
      <w:r>
        <w:rPr>
          <w:lang w:eastAsia="en-AU" w:bidi="ar-SA"/>
        </w:rPr>
        <w:t xml:space="preserve">A </w:t>
      </w:r>
      <w:r w:rsidRPr="00907923">
        <w:rPr>
          <w:lang w:eastAsia="en-AU" w:bidi="ar-SA"/>
        </w:rPr>
        <w:t>claim that an</w:t>
      </w:r>
      <w:r>
        <w:rPr>
          <w:lang w:eastAsia="en-AU" w:bidi="ar-SA"/>
        </w:rPr>
        <w:t xml:space="preserve"> electrolyte drink is isotonic can be </w:t>
      </w:r>
      <w:r w:rsidRPr="00907923">
        <w:rPr>
          <w:lang w:eastAsia="en-AU" w:bidi="ar-SA"/>
        </w:rPr>
        <w:t>made if the</w:t>
      </w:r>
      <w:r w:rsidR="00F30226">
        <w:rPr>
          <w:lang w:eastAsia="en-AU" w:bidi="ar-SA"/>
        </w:rPr>
        <w:t xml:space="preserve"> electrolyte drink </w:t>
      </w:r>
      <w:r w:rsidRPr="00907923">
        <w:rPr>
          <w:lang w:eastAsia="en-AU" w:bidi="ar-SA"/>
        </w:rPr>
        <w:t>has an average osmolality of 250–340 mOsmol/</w:t>
      </w:r>
      <w:r>
        <w:rPr>
          <w:lang w:eastAsia="en-AU" w:bidi="ar-SA"/>
        </w:rPr>
        <w:t>L</w:t>
      </w:r>
      <w:r w:rsidRPr="00907923">
        <w:rPr>
          <w:lang w:eastAsia="en-AU" w:bidi="ar-SA"/>
        </w:rPr>
        <w:t>.</w:t>
      </w:r>
      <w:r>
        <w:rPr>
          <w:lang w:eastAsia="en-AU" w:bidi="ar-SA"/>
        </w:rPr>
        <w:t xml:space="preserve"> </w:t>
      </w:r>
    </w:p>
    <w:p w14:paraId="74C4BA8A" w14:textId="77777777" w:rsidR="00907923" w:rsidRDefault="00907923" w:rsidP="00DF3763">
      <w:pPr>
        <w:rPr>
          <w:lang w:eastAsia="en-AU" w:bidi="ar-SA"/>
        </w:rPr>
      </w:pPr>
    </w:p>
    <w:p w14:paraId="2CADC7CA" w14:textId="5BECF98B" w:rsidR="00907923" w:rsidRDefault="00DF3763" w:rsidP="00DF3763">
      <w:pPr>
        <w:rPr>
          <w:lang w:eastAsia="en-AU" w:bidi="ar-SA"/>
        </w:rPr>
      </w:pPr>
      <w:r w:rsidRPr="00EF1003">
        <w:rPr>
          <w:lang w:eastAsia="en-AU" w:bidi="ar-SA"/>
        </w:rPr>
        <w:t>The osmolality of any</w:t>
      </w:r>
      <w:r w:rsidR="00F30226">
        <w:rPr>
          <w:lang w:eastAsia="en-AU" w:bidi="ar-SA"/>
        </w:rPr>
        <w:t xml:space="preserve"> electrolyte drink </w:t>
      </w:r>
      <w:r w:rsidRPr="00EF1003">
        <w:rPr>
          <w:lang w:eastAsia="en-AU" w:bidi="ar-SA"/>
        </w:rPr>
        <w:t xml:space="preserve">must </w:t>
      </w:r>
      <w:r>
        <w:rPr>
          <w:lang w:eastAsia="en-AU" w:bidi="ar-SA"/>
        </w:rPr>
        <w:t xml:space="preserve">currently </w:t>
      </w:r>
      <w:r w:rsidRPr="00EF1003">
        <w:rPr>
          <w:lang w:eastAsia="en-AU" w:bidi="ar-SA"/>
        </w:rPr>
        <w:t>be declared on the label in mOsm/</w:t>
      </w:r>
      <w:r>
        <w:rPr>
          <w:lang w:eastAsia="en-AU" w:bidi="ar-SA"/>
        </w:rPr>
        <w:t>L</w:t>
      </w:r>
      <w:r w:rsidRPr="00EF1003">
        <w:rPr>
          <w:lang w:eastAsia="en-AU" w:bidi="ar-SA"/>
        </w:rPr>
        <w:t xml:space="preserve"> if a claim is made that the drink is isotonic, hypertonic or hypotonic</w:t>
      </w:r>
      <w:r w:rsidRPr="00DD5357">
        <w:rPr>
          <w:lang w:eastAsia="en-AU" w:bidi="ar-SA"/>
        </w:rPr>
        <w:t xml:space="preserve"> (</w:t>
      </w:r>
      <w:r w:rsidR="0075027A">
        <w:rPr>
          <w:lang w:eastAsia="en-AU" w:bidi="ar-SA"/>
        </w:rPr>
        <w:t>paragraph</w:t>
      </w:r>
      <w:r w:rsidRPr="00EF1003">
        <w:rPr>
          <w:lang w:eastAsia="en-AU" w:bidi="ar-SA"/>
        </w:rPr>
        <w:t xml:space="preserve"> 1.2.1—8</w:t>
      </w:r>
      <w:r w:rsidR="00FD328C">
        <w:rPr>
          <w:lang w:eastAsia="en-AU" w:bidi="ar-SA"/>
        </w:rPr>
        <w:t>(1)</w:t>
      </w:r>
      <w:r w:rsidRPr="00EF1003">
        <w:rPr>
          <w:lang w:eastAsia="en-AU" w:bidi="ar-SA"/>
        </w:rPr>
        <w:t>(t)</w:t>
      </w:r>
      <w:r>
        <w:rPr>
          <w:lang w:eastAsia="en-AU" w:bidi="ar-SA"/>
        </w:rPr>
        <w:t xml:space="preserve"> and </w:t>
      </w:r>
      <w:r w:rsidR="0075027A">
        <w:rPr>
          <w:lang w:eastAsia="en-AU" w:bidi="ar-SA"/>
        </w:rPr>
        <w:t>sub</w:t>
      </w:r>
      <w:r w:rsidRPr="00DD5357">
        <w:rPr>
          <w:lang w:eastAsia="en-AU" w:bidi="ar-SA"/>
        </w:rPr>
        <w:t>section 2.6.2—12(2)).</w:t>
      </w:r>
      <w:r w:rsidRPr="00EF1003" w:rsidDel="002F0604">
        <w:rPr>
          <w:lang w:eastAsia="en-AU" w:bidi="ar-SA"/>
        </w:rPr>
        <w:t xml:space="preserve"> </w:t>
      </w:r>
    </w:p>
    <w:p w14:paraId="6CA1123B" w14:textId="77777777" w:rsidR="00907923" w:rsidRDefault="00907923" w:rsidP="00DF3763">
      <w:pPr>
        <w:rPr>
          <w:lang w:eastAsia="en-AU" w:bidi="ar-SA"/>
        </w:rPr>
      </w:pPr>
    </w:p>
    <w:p w14:paraId="5ABA3CC3" w14:textId="66ABEC9C" w:rsidR="00DF3763" w:rsidRDefault="00800F9F" w:rsidP="00DF3763">
      <w:pPr>
        <w:rPr>
          <w:b/>
        </w:rPr>
      </w:pPr>
      <w:r>
        <w:rPr>
          <w:lang w:eastAsia="en-AU" w:bidi="ar-SA"/>
        </w:rPr>
        <w:t xml:space="preserve">No changes were proposed to this approach in 2014. </w:t>
      </w:r>
    </w:p>
    <w:p w14:paraId="35B9FAA1" w14:textId="3F071A54" w:rsidR="00DF3763" w:rsidRPr="006656D4" w:rsidRDefault="00DF3763" w:rsidP="00DF3763">
      <w:pPr>
        <w:pStyle w:val="Heading4"/>
      </w:pPr>
      <w:r w:rsidRPr="006656D4">
        <w:t>2.</w:t>
      </w:r>
      <w:r>
        <w:t>3.8</w:t>
      </w:r>
      <w:r w:rsidRPr="006656D4">
        <w:t>.</w:t>
      </w:r>
      <w:r>
        <w:t>2</w:t>
      </w:r>
      <w:r w:rsidRPr="006656D4">
        <w:tab/>
        <w:t xml:space="preserve">Proposed </w:t>
      </w:r>
      <w:r w:rsidR="009C0E2C">
        <w:t xml:space="preserve">new </w:t>
      </w:r>
      <w:r w:rsidRPr="006656D4">
        <w:t xml:space="preserve">approach </w:t>
      </w:r>
    </w:p>
    <w:p w14:paraId="339C395F" w14:textId="74948678" w:rsidR="00907923" w:rsidRDefault="00907923" w:rsidP="00907923">
      <w:pPr>
        <w:widowControl/>
        <w:spacing w:before="120" w:after="120"/>
        <w:rPr>
          <w:lang w:eastAsia="en-AU" w:bidi="ar-SA"/>
        </w:rPr>
      </w:pPr>
      <w:r>
        <w:rPr>
          <w:lang w:eastAsia="en-AU" w:bidi="ar-SA"/>
        </w:rPr>
        <w:t xml:space="preserve">In relation to tonicity claims, FSANZ is not proposing any changes to the current osmolality range defining isotonic claims except for a change to the units (as discussed in </w:t>
      </w:r>
      <w:r w:rsidR="003C0990">
        <w:rPr>
          <w:lang w:eastAsia="en-AU" w:bidi="ar-SA"/>
        </w:rPr>
        <w:t xml:space="preserve">Section </w:t>
      </w:r>
      <w:r w:rsidRPr="00907923">
        <w:rPr>
          <w:lang w:eastAsia="en-AU" w:bidi="ar-SA"/>
        </w:rPr>
        <w:t>2.3.5.2.2</w:t>
      </w:r>
      <w:r>
        <w:rPr>
          <w:lang w:eastAsia="en-AU" w:bidi="ar-SA"/>
        </w:rPr>
        <w:t xml:space="preserve"> </w:t>
      </w:r>
      <w:r w:rsidR="003C0990">
        <w:rPr>
          <w:lang w:eastAsia="en-AU" w:bidi="ar-SA"/>
        </w:rPr>
        <w:t>of this</w:t>
      </w:r>
      <w:r w:rsidR="00417F12">
        <w:rPr>
          <w:lang w:eastAsia="en-AU" w:bidi="ar-SA"/>
        </w:rPr>
        <w:t xml:space="preserve"> C</w:t>
      </w:r>
      <w:r w:rsidR="003C0990">
        <w:rPr>
          <w:lang w:eastAsia="en-AU" w:bidi="ar-SA"/>
        </w:rPr>
        <w:t xml:space="preserve">onsultation paper </w:t>
      </w:r>
      <w:r>
        <w:rPr>
          <w:lang w:eastAsia="en-AU" w:bidi="ar-SA"/>
        </w:rPr>
        <w:t xml:space="preserve">above). </w:t>
      </w:r>
    </w:p>
    <w:p w14:paraId="274C0E25" w14:textId="37973727" w:rsidR="00907923" w:rsidRDefault="00907923" w:rsidP="00907923">
      <w:pPr>
        <w:widowControl/>
        <w:spacing w:before="120" w:after="120"/>
        <w:rPr>
          <w:lang w:eastAsia="en-AU" w:bidi="ar-SA"/>
        </w:rPr>
      </w:pPr>
      <w:r>
        <w:rPr>
          <w:lang w:eastAsia="en-AU" w:bidi="ar-SA"/>
        </w:rPr>
        <w:t xml:space="preserve">The range for isotonic claims can be used to </w:t>
      </w:r>
      <w:r w:rsidR="00475D2B">
        <w:rPr>
          <w:lang w:eastAsia="en-AU" w:bidi="ar-SA"/>
        </w:rPr>
        <w:t>r</w:t>
      </w:r>
      <w:r>
        <w:rPr>
          <w:lang w:eastAsia="en-AU" w:bidi="ar-SA"/>
        </w:rPr>
        <w:t>educe the osmolality range of hypotonic</w:t>
      </w:r>
      <w:r w:rsidR="00F30226">
        <w:rPr>
          <w:lang w:eastAsia="en-AU" w:bidi="ar-SA"/>
        </w:rPr>
        <w:t xml:space="preserve"> electrolyte drinks </w:t>
      </w:r>
      <w:r w:rsidR="00C312A6">
        <w:rPr>
          <w:lang w:eastAsia="en-AU" w:bidi="ar-SA"/>
        </w:rPr>
        <w:t xml:space="preserve">as </w:t>
      </w:r>
      <w:r>
        <w:rPr>
          <w:lang w:eastAsia="en-AU" w:bidi="ar-SA"/>
        </w:rPr>
        <w:t>&lt;250 mOsm/kg and hypertonic</w:t>
      </w:r>
      <w:r w:rsidR="00F30226">
        <w:rPr>
          <w:lang w:eastAsia="en-AU" w:bidi="ar-SA"/>
        </w:rPr>
        <w:t xml:space="preserve"> electrolyte drinks </w:t>
      </w:r>
      <w:r>
        <w:rPr>
          <w:lang w:eastAsia="en-AU" w:bidi="ar-SA"/>
        </w:rPr>
        <w:t>as &gt;340 mOsm/kg.</w:t>
      </w:r>
    </w:p>
    <w:p w14:paraId="74565346" w14:textId="27529F24" w:rsidR="00E9556D" w:rsidRPr="00994863" w:rsidRDefault="005F0E4A" w:rsidP="00E9556D">
      <w:pPr>
        <w:widowControl/>
        <w:spacing w:before="120" w:after="120"/>
        <w:rPr>
          <w:lang w:eastAsia="en-AU" w:bidi="ar-SA"/>
        </w:rPr>
      </w:pPr>
      <w:r>
        <w:rPr>
          <w:lang w:eastAsia="en-AU" w:bidi="ar-SA"/>
        </w:rPr>
        <w:lastRenderedPageBreak/>
        <w:t>Despite</w:t>
      </w:r>
      <w:r w:rsidR="001F198A">
        <w:rPr>
          <w:lang w:eastAsia="en-AU" w:bidi="ar-SA"/>
        </w:rPr>
        <w:t xml:space="preserve"> the proposal to revise the osmolality units for compositional requirements to </w:t>
      </w:r>
      <w:r w:rsidR="00E9556D" w:rsidRPr="002F0604">
        <w:rPr>
          <w:lang w:eastAsia="en-AU" w:bidi="ar-SA"/>
        </w:rPr>
        <w:t>mOsm/kg</w:t>
      </w:r>
      <w:r w:rsidR="001F198A">
        <w:rPr>
          <w:lang w:eastAsia="en-AU" w:bidi="ar-SA"/>
        </w:rPr>
        <w:t>,</w:t>
      </w:r>
      <w:r w:rsidR="00E9556D" w:rsidRPr="002F0604">
        <w:rPr>
          <w:lang w:eastAsia="en-AU" w:bidi="ar-SA"/>
        </w:rPr>
        <w:t xml:space="preserve"> FSANZ considers </w:t>
      </w:r>
      <w:r w:rsidR="001F198A" w:rsidRPr="002F0604">
        <w:rPr>
          <w:lang w:eastAsia="en-AU" w:bidi="ar-SA"/>
        </w:rPr>
        <w:t xml:space="preserve">mOsm/L </w:t>
      </w:r>
      <w:r w:rsidR="001F198A">
        <w:rPr>
          <w:lang w:eastAsia="en-AU" w:bidi="ar-SA"/>
        </w:rPr>
        <w:t>remains</w:t>
      </w:r>
      <w:r w:rsidR="001F198A" w:rsidRPr="002F0604">
        <w:rPr>
          <w:lang w:eastAsia="en-AU" w:bidi="ar-SA"/>
        </w:rPr>
        <w:t xml:space="preserve"> the appropriate unit for </w:t>
      </w:r>
      <w:r w:rsidR="0097511A">
        <w:rPr>
          <w:lang w:eastAsia="en-AU" w:bidi="ar-SA"/>
        </w:rPr>
        <w:t xml:space="preserve">declaring osmolality for </w:t>
      </w:r>
      <w:r w:rsidR="001F198A" w:rsidRPr="002F0604">
        <w:rPr>
          <w:lang w:eastAsia="en-AU" w:bidi="ar-SA"/>
        </w:rPr>
        <w:t>labelling purposes</w:t>
      </w:r>
      <w:r>
        <w:rPr>
          <w:lang w:eastAsia="en-AU" w:bidi="ar-SA"/>
        </w:rPr>
        <w:t>,</w:t>
      </w:r>
      <w:r w:rsidR="00112437">
        <w:rPr>
          <w:lang w:eastAsia="en-AU" w:bidi="ar-SA"/>
        </w:rPr>
        <w:t xml:space="preserve"> </w:t>
      </w:r>
      <w:r w:rsidR="00800F9F">
        <w:rPr>
          <w:lang w:eastAsia="en-AU" w:bidi="ar-SA"/>
        </w:rPr>
        <w:t>as other units of measure on</w:t>
      </w:r>
      <w:r w:rsidR="00F30226">
        <w:rPr>
          <w:lang w:eastAsia="en-AU" w:bidi="ar-SA"/>
        </w:rPr>
        <w:t xml:space="preserve"> electrolyte drinks </w:t>
      </w:r>
      <w:r w:rsidR="00800F9F">
        <w:rPr>
          <w:lang w:eastAsia="en-AU" w:bidi="ar-SA"/>
        </w:rPr>
        <w:t>are likely to be in litres or millilitre</w:t>
      </w:r>
      <w:r w:rsidR="007B46D7">
        <w:rPr>
          <w:lang w:eastAsia="en-AU" w:bidi="ar-SA"/>
        </w:rPr>
        <w:t>s</w:t>
      </w:r>
      <w:r w:rsidR="00800F9F">
        <w:rPr>
          <w:lang w:eastAsia="en-AU" w:bidi="ar-SA"/>
        </w:rPr>
        <w:t xml:space="preserve">. </w:t>
      </w:r>
      <w:r w:rsidR="00940226">
        <w:rPr>
          <w:lang w:eastAsia="en-AU" w:bidi="ar-SA"/>
        </w:rPr>
        <w:t>The</w:t>
      </w:r>
      <w:r w:rsidR="00112437">
        <w:rPr>
          <w:lang w:eastAsia="en-AU" w:bidi="ar-SA"/>
        </w:rPr>
        <w:t xml:space="preserve"> difference </w:t>
      </w:r>
      <w:r w:rsidR="00800F9F">
        <w:rPr>
          <w:lang w:eastAsia="en-AU" w:bidi="ar-SA"/>
        </w:rPr>
        <w:t xml:space="preserve">in tonicity </w:t>
      </w:r>
      <w:r w:rsidR="00112437">
        <w:rPr>
          <w:lang w:eastAsia="en-AU" w:bidi="ar-SA"/>
        </w:rPr>
        <w:t>for</w:t>
      </w:r>
      <w:r w:rsidR="00F30226">
        <w:rPr>
          <w:lang w:eastAsia="en-AU" w:bidi="ar-SA"/>
        </w:rPr>
        <w:t xml:space="preserve"> electrolyte drinks </w:t>
      </w:r>
      <w:r w:rsidR="00800F9F">
        <w:rPr>
          <w:lang w:eastAsia="en-AU" w:bidi="ar-SA"/>
        </w:rPr>
        <w:t xml:space="preserve">on a </w:t>
      </w:r>
      <w:r w:rsidR="00C42AE0">
        <w:rPr>
          <w:lang w:eastAsia="en-AU" w:bidi="ar-SA"/>
        </w:rPr>
        <w:t xml:space="preserve">kilogram </w:t>
      </w:r>
      <w:r w:rsidR="00800F9F">
        <w:rPr>
          <w:lang w:eastAsia="en-AU" w:bidi="ar-SA"/>
        </w:rPr>
        <w:t>basis compared to a</w:t>
      </w:r>
      <w:r w:rsidR="00C42AE0">
        <w:rPr>
          <w:lang w:eastAsia="en-AU" w:bidi="ar-SA"/>
        </w:rPr>
        <w:t xml:space="preserve"> litre </w:t>
      </w:r>
      <w:r w:rsidR="00800F9F">
        <w:rPr>
          <w:lang w:eastAsia="en-AU" w:bidi="ar-SA"/>
        </w:rPr>
        <w:t>basis</w:t>
      </w:r>
      <w:r w:rsidR="00112437">
        <w:rPr>
          <w:lang w:eastAsia="en-AU" w:bidi="ar-SA"/>
        </w:rPr>
        <w:t xml:space="preserve"> is </w:t>
      </w:r>
      <w:r w:rsidR="00463B56">
        <w:rPr>
          <w:lang w:eastAsia="en-AU" w:bidi="ar-SA"/>
        </w:rPr>
        <w:t xml:space="preserve">no more than about 3% and </w:t>
      </w:r>
      <w:r w:rsidR="00112437">
        <w:rPr>
          <w:lang w:eastAsia="en-AU" w:bidi="ar-SA"/>
        </w:rPr>
        <w:t>is expected to be insignificant when rounding is taken into account.</w:t>
      </w:r>
      <w:r w:rsidR="005073DE">
        <w:rPr>
          <w:lang w:eastAsia="en-AU" w:bidi="ar-SA"/>
        </w:rPr>
        <w:t xml:space="preserve"> </w:t>
      </w:r>
      <w:r w:rsidR="005073DE" w:rsidRPr="00DC0F83">
        <w:rPr>
          <w:lang w:eastAsia="en-AU" w:bidi="ar-SA"/>
        </w:rPr>
        <w:t>This change is likely to have little impact on industry as the new lower bound of the osmolality range for health claims (200 – 340 mOsm/kg) is decreased.</w:t>
      </w:r>
    </w:p>
    <w:p w14:paraId="40623FE3" w14:textId="09462DBD" w:rsidR="004770D8" w:rsidRPr="00803905" w:rsidRDefault="004770D8" w:rsidP="00803905">
      <w:pPr>
        <w:pStyle w:val="Heading3"/>
      </w:pPr>
      <w:bookmarkStart w:id="202" w:name="_Toc60825009"/>
      <w:bookmarkStart w:id="203" w:name="_Toc61442313"/>
      <w:bookmarkStart w:id="204" w:name="_Toc61449857"/>
      <w:bookmarkStart w:id="205" w:name="_Toc63342501"/>
      <w:bookmarkStart w:id="206" w:name="_Toc71711640"/>
      <w:bookmarkStart w:id="207" w:name="_Toc72673574"/>
      <w:r w:rsidRPr="00803905">
        <w:t>2.3.</w:t>
      </w:r>
      <w:r w:rsidR="0085468F" w:rsidRPr="00803905">
        <w:t>9</w:t>
      </w:r>
      <w:r w:rsidRPr="00803905">
        <w:tab/>
      </w:r>
      <w:r w:rsidR="004521B7" w:rsidRPr="00803905">
        <w:t>Prescribed n</w:t>
      </w:r>
      <w:r w:rsidRPr="00803905">
        <w:t>ame</w:t>
      </w:r>
      <w:bookmarkEnd w:id="202"/>
      <w:bookmarkEnd w:id="203"/>
      <w:bookmarkEnd w:id="204"/>
      <w:bookmarkEnd w:id="205"/>
      <w:bookmarkEnd w:id="206"/>
      <w:bookmarkEnd w:id="207"/>
    </w:p>
    <w:p w14:paraId="1439B22C" w14:textId="68F1515C" w:rsidR="004770D8" w:rsidRPr="003847E9" w:rsidRDefault="004770D8" w:rsidP="00424BD1">
      <w:pPr>
        <w:pStyle w:val="Heading4"/>
        <w:widowControl/>
        <w:spacing w:before="120" w:after="120"/>
      </w:pPr>
      <w:r>
        <w:t>2.3.</w:t>
      </w:r>
      <w:r w:rsidR="0085468F">
        <w:t>9</w:t>
      </w:r>
      <w:r>
        <w:t>.1</w:t>
      </w:r>
      <w:r w:rsidRPr="003847E9">
        <w:tab/>
        <w:t>Approach in 2014 Call for submissions</w:t>
      </w:r>
    </w:p>
    <w:p w14:paraId="0474F923" w14:textId="79A1C8EA" w:rsidR="004770D8" w:rsidRDefault="004770D8" w:rsidP="00424BD1">
      <w:pPr>
        <w:widowControl/>
        <w:spacing w:before="120" w:after="120"/>
      </w:pPr>
      <w:r>
        <w:t xml:space="preserve">Standard 1.2.2 requires that the label on a package of food must include the prescribed name of the food (if a name is prescribed by the Code) and in any other case, a name or description of the food sufficient to indicate the true nature of the food. </w:t>
      </w:r>
    </w:p>
    <w:p w14:paraId="3B65A92A" w14:textId="00F79079" w:rsidR="004770D8" w:rsidRDefault="004770D8" w:rsidP="00424BD1">
      <w:pPr>
        <w:widowControl/>
        <w:spacing w:before="120" w:after="120"/>
      </w:pPr>
      <w:r w:rsidRPr="00D941C3">
        <w:t xml:space="preserve">In the 2014 </w:t>
      </w:r>
      <w:r w:rsidR="00B205A8">
        <w:t>CFS</w:t>
      </w:r>
      <w:r w:rsidRPr="00D941C3">
        <w:t xml:space="preserve">, </w:t>
      </w:r>
      <w:r>
        <w:t>a prescribed name of ‘</w:t>
      </w:r>
      <w:r w:rsidR="00666B2D">
        <w:t xml:space="preserve">electrolyte </w:t>
      </w:r>
      <w:r>
        <w:t>drink’ was proposed, to help enforcement agencies clearly identify</w:t>
      </w:r>
      <w:r w:rsidR="0052629D">
        <w:t xml:space="preserve"> electrolyte drinks.</w:t>
      </w:r>
      <w:r>
        <w:t xml:space="preserve"> This was supported by the transfer of regulation of</w:t>
      </w:r>
      <w:r w:rsidR="00F30226">
        <w:t xml:space="preserve"> electrolyte drinks </w:t>
      </w:r>
      <w:r>
        <w:t>to Standard 2.9.4 (other foods regulated as Special Purpose Foods have prescribed names) and the removal of the requirement in the definition for</w:t>
      </w:r>
      <w:r w:rsidR="00F30226">
        <w:t xml:space="preserve"> electrolyte drinks </w:t>
      </w:r>
      <w:r>
        <w:t xml:space="preserve">to be ‘represented as’. </w:t>
      </w:r>
    </w:p>
    <w:p w14:paraId="0D1F2BC4" w14:textId="62D3B9FA" w:rsidR="004C06E5" w:rsidRDefault="0008449E" w:rsidP="00424BD1">
      <w:pPr>
        <w:widowControl/>
        <w:spacing w:before="120" w:after="120"/>
      </w:pPr>
      <w:r>
        <w:t xml:space="preserve">There were very few comments about this from </w:t>
      </w:r>
      <w:r w:rsidR="008763C5">
        <w:t xml:space="preserve">submitters however </w:t>
      </w:r>
      <w:r w:rsidR="004C06E5" w:rsidRPr="004C06E5">
        <w:t xml:space="preserve">one </w:t>
      </w:r>
      <w:r w:rsidR="002F2023" w:rsidRPr="004C06E5">
        <w:t xml:space="preserve">government </w:t>
      </w:r>
      <w:r w:rsidR="004C06E5" w:rsidRPr="004C06E5">
        <w:t xml:space="preserve">submitter </w:t>
      </w:r>
      <w:r w:rsidR="008763C5">
        <w:t xml:space="preserve">supported the proposed approach </w:t>
      </w:r>
      <w:r w:rsidR="002F2023">
        <w:t xml:space="preserve">whereas an industry submitter </w:t>
      </w:r>
      <w:r w:rsidR="008763C5">
        <w:t>opposed it</w:t>
      </w:r>
      <w:r w:rsidR="004C06E5" w:rsidRPr="004C06E5">
        <w:t xml:space="preserve">. The </w:t>
      </w:r>
      <w:r w:rsidR="002F2023">
        <w:t>industry submitter</w:t>
      </w:r>
      <w:r w:rsidR="004C06E5" w:rsidRPr="004C06E5">
        <w:t xml:space="preserve"> considered there was no demonstrated need for a prescribed name and also considered that the requirement for a prescribed name would warrant WTO notification.</w:t>
      </w:r>
    </w:p>
    <w:p w14:paraId="461790D7" w14:textId="0E121115" w:rsidR="004770D8" w:rsidRDefault="004770D8" w:rsidP="00424BD1">
      <w:pPr>
        <w:pStyle w:val="Heading4"/>
        <w:widowControl/>
        <w:spacing w:before="120" w:after="120"/>
        <w:rPr>
          <w:lang w:eastAsia="en-AU"/>
        </w:rPr>
      </w:pPr>
      <w:r>
        <w:rPr>
          <w:lang w:eastAsia="en-AU"/>
        </w:rPr>
        <w:t>2.3.</w:t>
      </w:r>
      <w:r w:rsidR="0085468F">
        <w:rPr>
          <w:lang w:eastAsia="en-AU"/>
        </w:rPr>
        <w:t>9</w:t>
      </w:r>
      <w:r>
        <w:rPr>
          <w:lang w:eastAsia="en-AU"/>
        </w:rPr>
        <w:t>.2</w:t>
      </w:r>
      <w:r>
        <w:rPr>
          <w:lang w:eastAsia="en-AU"/>
        </w:rPr>
        <w:tab/>
        <w:t xml:space="preserve">Proposed </w:t>
      </w:r>
      <w:r w:rsidR="006A381D">
        <w:rPr>
          <w:lang w:eastAsia="en-AU"/>
        </w:rPr>
        <w:t xml:space="preserve">new </w:t>
      </w:r>
      <w:r>
        <w:rPr>
          <w:lang w:eastAsia="en-AU"/>
        </w:rPr>
        <w:t xml:space="preserve">approach </w:t>
      </w:r>
    </w:p>
    <w:p w14:paraId="111C671E" w14:textId="19BD8E03" w:rsidR="004770D8" w:rsidRDefault="004770D8" w:rsidP="00424BD1">
      <w:pPr>
        <w:widowControl/>
        <w:spacing w:before="120" w:after="120"/>
      </w:pPr>
      <w:r>
        <w:t>FSANZ proposes to maintain the previous proposed approach of prescribing the name ‘Electrolyte drink’ for</w:t>
      </w:r>
      <w:r w:rsidR="00F30226">
        <w:t xml:space="preserve"> electrolyte drinks </w:t>
      </w:r>
      <w:r w:rsidR="000D367D">
        <w:t xml:space="preserve">and </w:t>
      </w:r>
      <w:r>
        <w:t xml:space="preserve">electrolyte drink bases. </w:t>
      </w:r>
    </w:p>
    <w:p w14:paraId="2B3BE98C" w14:textId="348DB611" w:rsidR="008763C5" w:rsidRDefault="004770D8" w:rsidP="00424BD1">
      <w:pPr>
        <w:widowControl/>
        <w:spacing w:before="120" w:after="120"/>
      </w:pPr>
      <w:r>
        <w:t>Although FSANZ is no longer proposing to regulate</w:t>
      </w:r>
      <w:r w:rsidR="00F30226">
        <w:t xml:space="preserve"> electrolyte drinks </w:t>
      </w:r>
      <w:r>
        <w:t xml:space="preserve">as </w:t>
      </w:r>
      <w:r w:rsidR="001F04BF">
        <w:t xml:space="preserve">a </w:t>
      </w:r>
      <w:r w:rsidR="00BC3899">
        <w:t>s</w:t>
      </w:r>
      <w:r>
        <w:t xml:space="preserve">pecial </w:t>
      </w:r>
      <w:r w:rsidR="00BC3899">
        <w:t>p</w:t>
      </w:r>
      <w:r>
        <w:t xml:space="preserve">urpose </w:t>
      </w:r>
      <w:r w:rsidR="00BC3899">
        <w:t>f</w:t>
      </w:r>
      <w:r>
        <w:t xml:space="preserve">ood, there are no provisions in the Code or elsewhere that constrain the use of a prescribed name to special purpose foods. </w:t>
      </w:r>
      <w:r w:rsidR="004C06E5">
        <w:t>FSANZ</w:t>
      </w:r>
      <w:r>
        <w:t xml:space="preserve"> still consider</w:t>
      </w:r>
      <w:r w:rsidR="004C06E5">
        <w:t>s</w:t>
      </w:r>
      <w:r>
        <w:t xml:space="preserve"> it is appropriate to prescribe the name for these products.</w:t>
      </w:r>
      <w:r w:rsidR="00F30226">
        <w:t xml:space="preserve"> </w:t>
      </w:r>
      <w:r w:rsidR="001919FC">
        <w:t xml:space="preserve">Electrolyte </w:t>
      </w:r>
      <w:r w:rsidR="00F30226">
        <w:t xml:space="preserve">drink </w:t>
      </w:r>
      <w:r w:rsidR="00B95D66">
        <w:rPr>
          <w:rFonts w:cs="Arial"/>
          <w:lang w:eastAsia="en-AU"/>
        </w:rPr>
        <w:t xml:space="preserve">manufacturers are already required to include a name or description to indicate the true nature of the product – the term ‘electrolyte drink’ is often used. </w:t>
      </w:r>
      <w:r w:rsidR="00B95D66">
        <w:t>A prescribed name</w:t>
      </w:r>
      <w:r>
        <w:t xml:space="preserve"> </w:t>
      </w:r>
      <w:r w:rsidR="00DA2C0C">
        <w:t>would</w:t>
      </w:r>
      <w:r>
        <w:t xml:space="preserve"> enable them to be easily identified, in particular for enforcement purposes, to avoid confusion with other similar beverages that do not have the same requirements and permissions, such as </w:t>
      </w:r>
      <w:r w:rsidR="00B205A8">
        <w:t>FSSF</w:t>
      </w:r>
      <w:r>
        <w:t xml:space="preserve"> and formulated beverages. </w:t>
      </w:r>
    </w:p>
    <w:p w14:paraId="6F76AA1F" w14:textId="346E3492" w:rsidR="00B363B8" w:rsidRPr="00F302FB" w:rsidRDefault="00B95D66" w:rsidP="00424BD1">
      <w:pPr>
        <w:widowControl/>
        <w:spacing w:before="120" w:after="120"/>
        <w:rPr>
          <w:lang w:eastAsia="en-AU" w:bidi="ar-SA"/>
        </w:rPr>
      </w:pPr>
      <w:r>
        <w:t xml:space="preserve">FSANZ’s proposed approach regarding WTO notification is in </w:t>
      </w:r>
      <w:r w:rsidR="003C0990">
        <w:t xml:space="preserve">Section </w:t>
      </w:r>
      <w:r>
        <w:t>2.5.2</w:t>
      </w:r>
      <w:r w:rsidR="003C0990">
        <w:t xml:space="preserve"> of this </w:t>
      </w:r>
      <w:r w:rsidR="00417F12">
        <w:t>C</w:t>
      </w:r>
      <w:r w:rsidR="003C0990">
        <w:t>onsultation paper</w:t>
      </w:r>
      <w:r w:rsidR="008763C5">
        <w:t xml:space="preserve">. </w:t>
      </w:r>
    </w:p>
    <w:p w14:paraId="664775D4" w14:textId="6FC885A7" w:rsidR="008F6528" w:rsidRDefault="008F6528" w:rsidP="00303F27">
      <w:pPr>
        <w:pStyle w:val="Heading2"/>
      </w:pPr>
      <w:bookmarkStart w:id="208" w:name="_Toc60825010"/>
      <w:bookmarkStart w:id="209" w:name="_Toc61442314"/>
      <w:bookmarkStart w:id="210" w:name="_Toc61449858"/>
      <w:bookmarkStart w:id="211" w:name="_Toc63342502"/>
      <w:bookmarkStart w:id="212" w:name="_Toc71711641"/>
      <w:bookmarkStart w:id="213" w:name="_Toc72673575"/>
      <w:r>
        <w:t>2.4</w:t>
      </w:r>
      <w:r>
        <w:tab/>
        <w:t>Related issues</w:t>
      </w:r>
      <w:bookmarkEnd w:id="208"/>
      <w:bookmarkEnd w:id="209"/>
      <w:bookmarkEnd w:id="210"/>
      <w:bookmarkEnd w:id="211"/>
      <w:bookmarkEnd w:id="212"/>
      <w:bookmarkEnd w:id="213"/>
    </w:p>
    <w:p w14:paraId="1ADC0928" w14:textId="3A14DCD1" w:rsidR="0001349F" w:rsidRDefault="008F6528" w:rsidP="00424BD1">
      <w:pPr>
        <w:pStyle w:val="Heading3"/>
        <w:widowControl/>
        <w:spacing w:before="120" w:after="120"/>
        <w:rPr>
          <w:rFonts w:cs="Arial"/>
          <w:color w:val="auto"/>
          <w:szCs w:val="20"/>
          <w:lang w:eastAsia="en-US" w:bidi="en-US"/>
        </w:rPr>
      </w:pPr>
      <w:bookmarkStart w:id="214" w:name="_Toc60825011"/>
      <w:bookmarkStart w:id="215" w:name="_Toc61442315"/>
      <w:bookmarkStart w:id="216" w:name="_Toc61449859"/>
      <w:bookmarkStart w:id="217" w:name="_Toc63342503"/>
      <w:bookmarkStart w:id="218" w:name="_Toc71711642"/>
      <w:bookmarkStart w:id="219" w:name="_Toc72673576"/>
      <w:r>
        <w:t>2.4.1</w:t>
      </w:r>
      <w:r>
        <w:tab/>
      </w:r>
      <w:r w:rsidR="003C1602">
        <w:t>Electrolyte drinks and s</w:t>
      </w:r>
      <w:r w:rsidR="00F02BA0">
        <w:t>ugar</w:t>
      </w:r>
      <w:r w:rsidR="00F624D8">
        <w:t xml:space="preserve"> </w:t>
      </w:r>
      <w:r w:rsidR="00F02BA0">
        <w:t>sweetened</w:t>
      </w:r>
      <w:r>
        <w:t xml:space="preserve"> beverages</w:t>
      </w:r>
      <w:bookmarkEnd w:id="214"/>
      <w:bookmarkEnd w:id="215"/>
      <w:bookmarkEnd w:id="216"/>
      <w:bookmarkEnd w:id="217"/>
      <w:bookmarkEnd w:id="218"/>
      <w:bookmarkEnd w:id="219"/>
      <w:r>
        <w:t xml:space="preserve"> </w:t>
      </w:r>
    </w:p>
    <w:p w14:paraId="19E8F1F1" w14:textId="02E38AE1" w:rsidR="00E14771" w:rsidRDefault="002F2023" w:rsidP="001F04BF">
      <w:pPr>
        <w:widowControl/>
        <w:spacing w:after="120"/>
      </w:pPr>
      <w:r>
        <w:t xml:space="preserve">Section 1.5 </w:t>
      </w:r>
      <w:r w:rsidR="007C6E69">
        <w:t xml:space="preserve">of this </w:t>
      </w:r>
      <w:r w:rsidR="00417F12">
        <w:t>C</w:t>
      </w:r>
      <w:r w:rsidR="007C6E69">
        <w:t xml:space="preserve">onsultation paper </w:t>
      </w:r>
      <w:r>
        <w:t xml:space="preserve">provides data on the </w:t>
      </w:r>
      <w:r w:rsidR="00E14771">
        <w:t>proportion of the population consuming</w:t>
      </w:r>
      <w:r w:rsidR="00F30226">
        <w:t xml:space="preserve"> electrolyte drinks </w:t>
      </w:r>
      <w:r>
        <w:t xml:space="preserve">compared to other common sugar sweetened beverages. </w:t>
      </w:r>
      <w:r w:rsidR="00E14771">
        <w:t>In Australia in 2011</w:t>
      </w:r>
      <w:r w:rsidR="003C1602">
        <w:t>–</w:t>
      </w:r>
      <w:r w:rsidR="00E14771">
        <w:t>12, 2% of the population (2 years and over) reported consuming</w:t>
      </w:r>
      <w:r w:rsidR="00F30226">
        <w:t xml:space="preserve"> electrolyte drinks </w:t>
      </w:r>
      <w:r w:rsidR="00E14771">
        <w:t xml:space="preserve">on one or both of the survey days, compared with 46% of the population consuming other common sugar sweetened beverages. </w:t>
      </w:r>
      <w:r w:rsidR="00E14771">
        <w:lastRenderedPageBreak/>
        <w:t>In New Zealand in 2008</w:t>
      </w:r>
      <w:r w:rsidR="003C1602">
        <w:t>–</w:t>
      </w:r>
      <w:r w:rsidR="00E14771">
        <w:t>9, 1% of the population (15 years and over) reported consuming</w:t>
      </w:r>
      <w:r w:rsidR="00F30226">
        <w:t xml:space="preserve"> electrolyte drinks </w:t>
      </w:r>
      <w:r w:rsidR="00E14771">
        <w:t xml:space="preserve">on one or both of the survey days, compared with 54% of the population consuming other common sugar sweetened beverages. </w:t>
      </w:r>
    </w:p>
    <w:p w14:paraId="71D652EE" w14:textId="283098CC" w:rsidR="003B17A2" w:rsidRDefault="00FB5647" w:rsidP="001F04BF">
      <w:pPr>
        <w:widowControl/>
        <w:spacing w:after="120"/>
      </w:pPr>
      <w:r w:rsidRPr="00AD38F3">
        <w:t>E</w:t>
      </w:r>
      <w:r w:rsidR="001221D2">
        <w:t>lectrolyte drink</w:t>
      </w:r>
      <w:r w:rsidRPr="00AD38F3">
        <w:t xml:space="preserve">s are one type of </w:t>
      </w:r>
      <w:r w:rsidR="00F02BA0">
        <w:t>sugar-sweetened</w:t>
      </w:r>
      <w:r w:rsidR="00350031" w:rsidRPr="00AD38F3">
        <w:t xml:space="preserve"> beverage</w:t>
      </w:r>
      <w:r w:rsidRPr="00AD38F3">
        <w:t xml:space="preserve"> on the market</w:t>
      </w:r>
      <w:r w:rsidR="000926DB">
        <w:t xml:space="preserve"> however they are the only category having</w:t>
      </w:r>
      <w:r w:rsidRPr="00AD38F3">
        <w:t xml:space="preserve"> prescribe</w:t>
      </w:r>
      <w:r w:rsidR="000926DB">
        <w:t>d</w:t>
      </w:r>
      <w:r w:rsidRPr="00AD38F3">
        <w:t xml:space="preserve"> minimum and maximum quantity of sugars and a minimum sodium level </w:t>
      </w:r>
      <w:r w:rsidR="000926DB">
        <w:t>consistent with</w:t>
      </w:r>
      <w:r w:rsidRPr="00AD38F3">
        <w:t xml:space="preserve"> </w:t>
      </w:r>
      <w:r w:rsidR="00AD38F3">
        <w:t>their</w:t>
      </w:r>
      <w:r w:rsidRPr="00AD38F3">
        <w:t xml:space="preserve"> purpose.</w:t>
      </w:r>
      <w:r w:rsidR="00666B2D">
        <w:t xml:space="preserve"> </w:t>
      </w:r>
    </w:p>
    <w:p w14:paraId="2F5D1DB3" w14:textId="25222CE7" w:rsidR="003B17A2" w:rsidRDefault="00120F42" w:rsidP="001F04BF">
      <w:pPr>
        <w:widowControl/>
        <w:spacing w:after="120"/>
      </w:pPr>
      <w:r w:rsidRPr="00120F42">
        <w:t xml:space="preserve">Based on </w:t>
      </w:r>
      <w:r w:rsidR="00BC3899">
        <w:t xml:space="preserve">declarations in </w:t>
      </w:r>
      <w:r w:rsidR="00B205A8">
        <w:t>NIP</w:t>
      </w:r>
      <w:r w:rsidR="00BC3899">
        <w:t>s</w:t>
      </w:r>
      <w:r w:rsidRPr="00120F42">
        <w:t xml:space="preserve">, </w:t>
      </w:r>
      <w:r w:rsidR="003B17A2" w:rsidRPr="00120F42">
        <w:t xml:space="preserve">Australian </w:t>
      </w:r>
      <w:r w:rsidRPr="00120F42">
        <w:t>sugar-sweetened beverages</w:t>
      </w:r>
      <w:r w:rsidR="003B17A2" w:rsidRPr="00120F42">
        <w:t xml:space="preserve"> </w:t>
      </w:r>
      <w:r w:rsidR="001F04BF">
        <w:t xml:space="preserve">(including flavoured mineral waters) </w:t>
      </w:r>
      <w:r w:rsidR="00AE092D" w:rsidRPr="00120F42">
        <w:t xml:space="preserve">contain </w:t>
      </w:r>
      <w:r w:rsidR="002F2023">
        <w:t>~</w:t>
      </w:r>
      <w:r w:rsidR="006E7932" w:rsidRPr="00120F42">
        <w:t xml:space="preserve"> </w:t>
      </w:r>
      <w:r w:rsidR="00780185">
        <w:t>3</w:t>
      </w:r>
      <w:r w:rsidR="003C1602">
        <w:t>–</w:t>
      </w:r>
      <w:r w:rsidR="006E7932" w:rsidRPr="00120F42">
        <w:t>1</w:t>
      </w:r>
      <w:r w:rsidR="00AE092D" w:rsidRPr="00120F42">
        <w:t>0</w:t>
      </w:r>
      <w:r w:rsidR="003B17A2" w:rsidRPr="00120F42">
        <w:t xml:space="preserve"> g/100</w:t>
      </w:r>
      <w:r w:rsidR="00780185">
        <w:t xml:space="preserve"> </w:t>
      </w:r>
      <w:r w:rsidR="003B17A2" w:rsidRPr="00120F42">
        <w:t>mL</w:t>
      </w:r>
      <w:r w:rsidR="001F04BF" w:rsidRPr="001F04BF">
        <w:t xml:space="preserve"> </w:t>
      </w:r>
      <w:r w:rsidR="001F04BF" w:rsidRPr="00120F42">
        <w:t>total sugars</w:t>
      </w:r>
      <w:r w:rsidR="003B17A2" w:rsidRPr="00120F42">
        <w:t xml:space="preserve">; </w:t>
      </w:r>
      <w:r w:rsidRPr="00120F42">
        <w:t>whereas</w:t>
      </w:r>
      <w:r w:rsidR="00F30226">
        <w:t xml:space="preserve"> electrolyte drinks </w:t>
      </w:r>
      <w:r w:rsidR="000926DB" w:rsidRPr="00120F42">
        <w:t>currently contain</w:t>
      </w:r>
      <w:r w:rsidR="003B17A2" w:rsidRPr="00120F42">
        <w:t xml:space="preserve"> </w:t>
      </w:r>
      <w:r w:rsidR="00780185">
        <w:t xml:space="preserve">about </w:t>
      </w:r>
      <w:r w:rsidR="003B17A2" w:rsidRPr="00120F42">
        <w:t>5</w:t>
      </w:r>
      <w:r w:rsidR="003C1602">
        <w:t>–</w:t>
      </w:r>
      <w:r w:rsidR="00AE092D" w:rsidRPr="00120F42">
        <w:t>6</w:t>
      </w:r>
      <w:r w:rsidR="003B17A2" w:rsidRPr="00120F42">
        <w:t xml:space="preserve"> g/100</w:t>
      </w:r>
      <w:r w:rsidR="00780185">
        <w:t xml:space="preserve"> </w:t>
      </w:r>
      <w:r w:rsidR="003B17A2" w:rsidRPr="00120F42">
        <w:t>mL</w:t>
      </w:r>
      <w:r w:rsidR="001F04BF" w:rsidRPr="001F04BF">
        <w:t xml:space="preserve"> </w:t>
      </w:r>
      <w:r w:rsidR="001F04BF">
        <w:t>total sugars</w:t>
      </w:r>
      <w:r w:rsidR="003B17A2" w:rsidRPr="00120F42">
        <w:t xml:space="preserve">. </w:t>
      </w:r>
      <w:r w:rsidR="00780185">
        <w:t>B</w:t>
      </w:r>
      <w:r w:rsidRPr="00120F42">
        <w:t xml:space="preserve">everages </w:t>
      </w:r>
      <w:r w:rsidR="00780185">
        <w:t>having</w:t>
      </w:r>
      <w:r w:rsidRPr="00120F42">
        <w:t xml:space="preserve"> </w:t>
      </w:r>
      <w:r w:rsidR="001F04BF">
        <w:t xml:space="preserve">lower levels of </w:t>
      </w:r>
      <w:r w:rsidRPr="00120F42">
        <w:t xml:space="preserve">total sugars </w:t>
      </w:r>
      <w:r w:rsidR="00780185">
        <w:t xml:space="preserve">may </w:t>
      </w:r>
      <w:r w:rsidRPr="00120F42">
        <w:t>also contain intense sweeteners.</w:t>
      </w:r>
    </w:p>
    <w:p w14:paraId="27EE1FB8" w14:textId="0A7D799A" w:rsidR="00350031" w:rsidRDefault="002B14B7" w:rsidP="001F04BF">
      <w:pPr>
        <w:widowControl/>
        <w:spacing w:after="120"/>
        <w:rPr>
          <w:rFonts w:cs="Arial"/>
          <w:b/>
          <w:szCs w:val="20"/>
        </w:rPr>
      </w:pPr>
      <w:r>
        <w:rPr>
          <w:rFonts w:cs="Arial"/>
          <w:szCs w:val="20"/>
        </w:rPr>
        <w:t>FSANZ now proposes to expand the</w:t>
      </w:r>
      <w:r w:rsidR="009A3D6A">
        <w:rPr>
          <w:rFonts w:cs="Arial"/>
          <w:szCs w:val="20"/>
        </w:rPr>
        <w:t xml:space="preserve"> </w:t>
      </w:r>
      <w:r w:rsidR="00E41B18">
        <w:rPr>
          <w:rFonts w:cs="Arial"/>
          <w:szCs w:val="20"/>
        </w:rPr>
        <w:t xml:space="preserve">range of </w:t>
      </w:r>
      <w:r w:rsidR="0052629D">
        <w:rPr>
          <w:rFonts w:cs="Arial"/>
          <w:szCs w:val="20"/>
        </w:rPr>
        <w:t>carbohydrate</w:t>
      </w:r>
      <w:r w:rsidR="00E41B18">
        <w:rPr>
          <w:rFonts w:cs="Arial"/>
          <w:szCs w:val="20"/>
        </w:rPr>
        <w:t xml:space="preserve"> in</w:t>
      </w:r>
      <w:r w:rsidR="00F30226">
        <w:rPr>
          <w:rFonts w:cs="Arial"/>
          <w:szCs w:val="20"/>
        </w:rPr>
        <w:t xml:space="preserve"> electrolyte drinks </w:t>
      </w:r>
      <w:r w:rsidR="00E41B18">
        <w:rPr>
          <w:rFonts w:cs="Arial"/>
          <w:szCs w:val="20"/>
        </w:rPr>
        <w:t xml:space="preserve">from </w:t>
      </w:r>
      <w:r w:rsidR="002B0E83">
        <w:rPr>
          <w:rFonts w:cs="Arial"/>
          <w:szCs w:val="20"/>
        </w:rPr>
        <w:t>5</w:t>
      </w:r>
      <w:r w:rsidR="008600B3">
        <w:rPr>
          <w:rFonts w:cs="Arial"/>
          <w:szCs w:val="20"/>
        </w:rPr>
        <w:t>0</w:t>
      </w:r>
      <w:r w:rsidR="003C1602">
        <w:rPr>
          <w:rFonts w:cs="Arial"/>
          <w:szCs w:val="20"/>
        </w:rPr>
        <w:t>–</w:t>
      </w:r>
      <w:r w:rsidR="002B0E83">
        <w:rPr>
          <w:rFonts w:cs="Arial"/>
          <w:szCs w:val="20"/>
        </w:rPr>
        <w:t>10</w:t>
      </w:r>
      <w:r w:rsidR="008600B3">
        <w:rPr>
          <w:rFonts w:cs="Arial"/>
          <w:szCs w:val="20"/>
        </w:rPr>
        <w:t>0</w:t>
      </w:r>
      <w:r w:rsidR="00E41B18">
        <w:rPr>
          <w:rFonts w:cs="Arial"/>
          <w:szCs w:val="20"/>
        </w:rPr>
        <w:t xml:space="preserve"> g/L to</w:t>
      </w:r>
      <w:r w:rsidR="00350031" w:rsidRPr="00350031">
        <w:rPr>
          <w:rFonts w:cs="Arial"/>
          <w:szCs w:val="20"/>
        </w:rPr>
        <w:t xml:space="preserve"> </w:t>
      </w:r>
      <w:r w:rsidR="002B0E83">
        <w:rPr>
          <w:rFonts w:cs="Arial"/>
          <w:szCs w:val="20"/>
        </w:rPr>
        <w:t>2</w:t>
      </w:r>
      <w:r w:rsidR="008600B3">
        <w:rPr>
          <w:rFonts w:cs="Arial"/>
          <w:szCs w:val="20"/>
        </w:rPr>
        <w:t>0</w:t>
      </w:r>
      <w:r w:rsidR="003C1602">
        <w:rPr>
          <w:rFonts w:cs="Arial"/>
          <w:szCs w:val="20"/>
        </w:rPr>
        <w:t>–</w:t>
      </w:r>
      <w:r w:rsidR="002B0E83">
        <w:rPr>
          <w:rFonts w:cs="Arial"/>
          <w:szCs w:val="20"/>
        </w:rPr>
        <w:t>10</w:t>
      </w:r>
      <w:r w:rsidR="008600B3">
        <w:rPr>
          <w:rFonts w:cs="Arial"/>
          <w:szCs w:val="20"/>
        </w:rPr>
        <w:t>0</w:t>
      </w:r>
      <w:r w:rsidR="00350031" w:rsidRPr="00350031">
        <w:rPr>
          <w:rFonts w:cs="Arial"/>
          <w:szCs w:val="20"/>
        </w:rPr>
        <w:t xml:space="preserve"> g</w:t>
      </w:r>
      <w:r w:rsidR="00E41B18">
        <w:rPr>
          <w:rFonts w:cs="Arial"/>
          <w:szCs w:val="20"/>
        </w:rPr>
        <w:t>/</w:t>
      </w:r>
      <w:r w:rsidR="00350031" w:rsidRPr="00350031">
        <w:rPr>
          <w:rFonts w:cs="Arial"/>
          <w:szCs w:val="20"/>
        </w:rPr>
        <w:t>L</w:t>
      </w:r>
      <w:r w:rsidR="00350031">
        <w:rPr>
          <w:rFonts w:cs="Arial"/>
          <w:szCs w:val="20"/>
        </w:rPr>
        <w:t xml:space="preserve">. Many submitters expressed concern about FSANZ’s 2014 </w:t>
      </w:r>
      <w:r w:rsidR="006F3866">
        <w:rPr>
          <w:rFonts w:cs="Arial"/>
          <w:szCs w:val="20"/>
        </w:rPr>
        <w:t xml:space="preserve">proposal </w:t>
      </w:r>
      <w:r w:rsidR="00350031">
        <w:rPr>
          <w:rFonts w:cs="Arial"/>
          <w:szCs w:val="20"/>
        </w:rPr>
        <w:t>to permit health claims on</w:t>
      </w:r>
      <w:r w:rsidR="00F30226">
        <w:rPr>
          <w:rFonts w:cs="Arial"/>
          <w:szCs w:val="20"/>
        </w:rPr>
        <w:t xml:space="preserve"> electrolyte drink </w:t>
      </w:r>
      <w:r w:rsidR="00350031">
        <w:rPr>
          <w:rFonts w:cs="Arial"/>
          <w:szCs w:val="20"/>
        </w:rPr>
        <w:t>labels but very few acknowledged the exist</w:t>
      </w:r>
      <w:r w:rsidR="00FD328C">
        <w:rPr>
          <w:rFonts w:cs="Arial"/>
          <w:szCs w:val="20"/>
        </w:rPr>
        <w:t>ing claim permission</w:t>
      </w:r>
      <w:r w:rsidR="00350031">
        <w:rPr>
          <w:rFonts w:cs="Arial"/>
          <w:szCs w:val="20"/>
        </w:rPr>
        <w:t xml:space="preserve"> </w:t>
      </w:r>
      <w:r w:rsidR="00E41B18">
        <w:rPr>
          <w:rFonts w:cs="Arial"/>
          <w:szCs w:val="20"/>
        </w:rPr>
        <w:t>for</w:t>
      </w:r>
      <w:r w:rsidR="00F30226">
        <w:rPr>
          <w:rFonts w:cs="Arial"/>
          <w:szCs w:val="20"/>
        </w:rPr>
        <w:t xml:space="preserve"> electrolyte drinks </w:t>
      </w:r>
      <w:r w:rsidR="00350031">
        <w:rPr>
          <w:rFonts w:cs="Arial"/>
          <w:szCs w:val="20"/>
        </w:rPr>
        <w:t xml:space="preserve">that </w:t>
      </w:r>
      <w:r w:rsidR="003F3482">
        <w:rPr>
          <w:rFonts w:cs="Arial"/>
          <w:szCs w:val="20"/>
        </w:rPr>
        <w:t>ha</w:t>
      </w:r>
      <w:r w:rsidR="00EE13C2">
        <w:rPr>
          <w:rFonts w:cs="Arial"/>
          <w:szCs w:val="20"/>
        </w:rPr>
        <w:t>s</w:t>
      </w:r>
      <w:r w:rsidR="003F3482">
        <w:rPr>
          <w:rFonts w:cs="Arial"/>
          <w:szCs w:val="20"/>
        </w:rPr>
        <w:t xml:space="preserve"> been in the Code since the early 1990s. Products that appear to be no sugar</w:t>
      </w:r>
      <w:r w:rsidR="00F30226">
        <w:rPr>
          <w:rFonts w:cs="Arial"/>
          <w:szCs w:val="20"/>
        </w:rPr>
        <w:t xml:space="preserve"> electrolyte drinks </w:t>
      </w:r>
      <w:r w:rsidR="003F3482">
        <w:rPr>
          <w:rFonts w:cs="Arial"/>
          <w:szCs w:val="20"/>
        </w:rPr>
        <w:t xml:space="preserve">are not regulated as </w:t>
      </w:r>
      <w:r w:rsidR="001221D2">
        <w:rPr>
          <w:rFonts w:cs="Arial"/>
          <w:szCs w:val="20"/>
        </w:rPr>
        <w:t>electrolyte drink</w:t>
      </w:r>
      <w:r w:rsidR="00E41B18">
        <w:rPr>
          <w:rFonts w:cs="Arial"/>
          <w:szCs w:val="20"/>
        </w:rPr>
        <w:t>s</w:t>
      </w:r>
      <w:r w:rsidR="003F3482">
        <w:rPr>
          <w:rFonts w:cs="Arial"/>
          <w:szCs w:val="20"/>
        </w:rPr>
        <w:t xml:space="preserve">, but </w:t>
      </w:r>
      <w:r w:rsidR="001F04BF">
        <w:rPr>
          <w:rFonts w:cs="Arial"/>
          <w:szCs w:val="20"/>
        </w:rPr>
        <w:t xml:space="preserve">are </w:t>
      </w:r>
      <w:r w:rsidR="003F3482">
        <w:rPr>
          <w:rFonts w:cs="Arial"/>
          <w:szCs w:val="20"/>
        </w:rPr>
        <w:t xml:space="preserve">instead regulated as formulated beverages </w:t>
      </w:r>
      <w:r w:rsidR="000D367D">
        <w:rPr>
          <w:rFonts w:cs="Arial"/>
          <w:szCs w:val="20"/>
        </w:rPr>
        <w:t xml:space="preserve">that </w:t>
      </w:r>
      <w:r w:rsidR="006F3866">
        <w:rPr>
          <w:rFonts w:cs="Arial"/>
          <w:szCs w:val="20"/>
        </w:rPr>
        <w:t xml:space="preserve">impose a maximum limit on sugars content and also </w:t>
      </w:r>
      <w:r w:rsidR="000D367D">
        <w:rPr>
          <w:rFonts w:cs="Arial"/>
          <w:szCs w:val="20"/>
        </w:rPr>
        <w:t>require added vitamins and/or minerals</w:t>
      </w:r>
      <w:r w:rsidR="00913A04">
        <w:rPr>
          <w:rFonts w:cs="Arial"/>
          <w:szCs w:val="20"/>
        </w:rPr>
        <w:t>.</w:t>
      </w:r>
      <w:r w:rsidR="000D367D">
        <w:rPr>
          <w:rFonts w:cs="Arial"/>
          <w:szCs w:val="20"/>
        </w:rPr>
        <w:t xml:space="preserve"> </w:t>
      </w:r>
    </w:p>
    <w:p w14:paraId="6D4E383F" w14:textId="16C80E99" w:rsidR="00B813F6" w:rsidRPr="003C1602" w:rsidRDefault="002B14B7" w:rsidP="001F04BF">
      <w:pPr>
        <w:widowControl/>
        <w:spacing w:after="120"/>
        <w:rPr>
          <w:rFonts w:cs="Arial"/>
          <w:szCs w:val="22"/>
        </w:rPr>
      </w:pPr>
      <w:r>
        <w:rPr>
          <w:rFonts w:cs="Arial"/>
          <w:szCs w:val="20"/>
        </w:rPr>
        <w:t>FSANZ also proposes a</w:t>
      </w:r>
      <w:r w:rsidR="00E41B18">
        <w:t xml:space="preserve"> </w:t>
      </w:r>
      <w:r w:rsidR="002B0E83">
        <w:t>requirement</w:t>
      </w:r>
      <w:r w:rsidR="00E41B18">
        <w:t xml:space="preserve"> for permitted </w:t>
      </w:r>
      <w:r w:rsidR="00FD328C">
        <w:t xml:space="preserve">health </w:t>
      </w:r>
      <w:r w:rsidR="00E41B18">
        <w:t>claims</w:t>
      </w:r>
      <w:r w:rsidR="000926DB">
        <w:t xml:space="preserve"> on</w:t>
      </w:r>
      <w:r w:rsidR="00F30226">
        <w:t xml:space="preserve"> electrolyte drinks </w:t>
      </w:r>
      <w:r w:rsidR="00E41B18">
        <w:t xml:space="preserve">to </w:t>
      </w:r>
      <w:r w:rsidR="009B26DA">
        <w:t xml:space="preserve">explicitly </w:t>
      </w:r>
      <w:r w:rsidR="00E41B18">
        <w:t xml:space="preserve">include </w:t>
      </w:r>
      <w:r w:rsidR="002B0E83">
        <w:t xml:space="preserve">a minimum time of strenuous physical activity </w:t>
      </w:r>
      <w:r w:rsidR="002F2023">
        <w:t>for</w:t>
      </w:r>
      <w:r w:rsidR="00E41B18">
        <w:t xml:space="preserve"> </w:t>
      </w:r>
      <w:r w:rsidR="00E41B18" w:rsidRPr="00AD38F3">
        <w:rPr>
          <w:i/>
        </w:rPr>
        <w:t>60 minutes or more</w:t>
      </w:r>
      <w:r>
        <w:rPr>
          <w:i/>
        </w:rPr>
        <w:t xml:space="preserve">. </w:t>
      </w:r>
      <w:r w:rsidRPr="005E0DE2">
        <w:t>This</w:t>
      </w:r>
      <w:r w:rsidR="00E41B18">
        <w:t xml:space="preserve"> </w:t>
      </w:r>
      <w:r w:rsidR="00E41B18" w:rsidRPr="00D61359">
        <w:t xml:space="preserve">is intended to </w:t>
      </w:r>
      <w:r w:rsidR="00AD38F3" w:rsidRPr="00D61359">
        <w:t xml:space="preserve">more </w:t>
      </w:r>
      <w:r w:rsidR="009B26DA" w:rsidRPr="00D61359">
        <w:t xml:space="preserve">precisely </w:t>
      </w:r>
      <w:r w:rsidR="00AD38F3" w:rsidRPr="00D61359">
        <w:t>describe the appropriate target group for these products</w:t>
      </w:r>
      <w:r w:rsidR="002F2023">
        <w:t xml:space="preserve"> and also the non-target group</w:t>
      </w:r>
      <w:r w:rsidR="00AD38F3" w:rsidRPr="00D61359">
        <w:t xml:space="preserve">. </w:t>
      </w:r>
      <w:r w:rsidR="00B813F6" w:rsidRPr="00D61359">
        <w:rPr>
          <w:rFonts w:cs="Arial"/>
          <w:szCs w:val="22"/>
        </w:rPr>
        <w:t xml:space="preserve">The beverage industry has </w:t>
      </w:r>
      <w:r w:rsidR="009375E3">
        <w:rPr>
          <w:rFonts w:cs="Arial"/>
          <w:szCs w:val="22"/>
        </w:rPr>
        <w:t>identified</w:t>
      </w:r>
      <w:r w:rsidR="00B813F6" w:rsidRPr="00D61359">
        <w:rPr>
          <w:rFonts w:cs="Arial"/>
          <w:szCs w:val="22"/>
        </w:rPr>
        <w:t xml:space="preserve"> the target population for</w:t>
      </w:r>
      <w:r w:rsidR="00F30226">
        <w:rPr>
          <w:rFonts w:cs="Arial"/>
          <w:szCs w:val="22"/>
        </w:rPr>
        <w:t xml:space="preserve"> electrolyte drinks </w:t>
      </w:r>
      <w:r w:rsidR="00B813F6" w:rsidRPr="00D61359">
        <w:rPr>
          <w:rFonts w:cs="Arial"/>
          <w:szCs w:val="22"/>
        </w:rPr>
        <w:t xml:space="preserve">(and sports drinks) </w:t>
      </w:r>
      <w:r w:rsidR="00AC437C">
        <w:rPr>
          <w:rFonts w:cs="Arial"/>
          <w:szCs w:val="22"/>
        </w:rPr>
        <w:t>a</w:t>
      </w:r>
      <w:r w:rsidR="00B813F6" w:rsidRPr="00D61359">
        <w:rPr>
          <w:rFonts w:cs="Arial"/>
          <w:szCs w:val="22"/>
        </w:rPr>
        <w:t>s all active people (gender neutral) 18</w:t>
      </w:r>
      <w:r w:rsidR="003C1602">
        <w:rPr>
          <w:rFonts w:cs="Arial"/>
          <w:szCs w:val="22"/>
        </w:rPr>
        <w:t>–</w:t>
      </w:r>
      <w:r w:rsidR="00B813F6" w:rsidRPr="00D61359">
        <w:rPr>
          <w:rFonts w:cs="Arial"/>
          <w:szCs w:val="22"/>
        </w:rPr>
        <w:t xml:space="preserve">49 years old exercising, working out at the gym, competing in sports, or undertaking strenuous physical work. </w:t>
      </w:r>
    </w:p>
    <w:p w14:paraId="756094B3" w14:textId="35482200" w:rsidR="00B813F6" w:rsidRPr="00D61359" w:rsidRDefault="000F0806" w:rsidP="001F04BF">
      <w:pPr>
        <w:widowControl/>
        <w:spacing w:after="120"/>
        <w:rPr>
          <w:rFonts w:cs="Arial"/>
        </w:rPr>
      </w:pPr>
      <w:r>
        <w:t>In 2014, s</w:t>
      </w:r>
      <w:r w:rsidRPr="00D61359">
        <w:t xml:space="preserve">ubmitters </w:t>
      </w:r>
      <w:r w:rsidR="00AD38F3" w:rsidRPr="00D61359">
        <w:t xml:space="preserve">were also concerned about </w:t>
      </w:r>
      <w:r w:rsidR="009B26DA" w:rsidRPr="00D61359">
        <w:t>children’s</w:t>
      </w:r>
      <w:r w:rsidR="00AD38F3" w:rsidRPr="00D61359">
        <w:t xml:space="preserve"> </w:t>
      </w:r>
      <w:r w:rsidR="009B26DA" w:rsidRPr="00D61359">
        <w:t xml:space="preserve">unnecessary </w:t>
      </w:r>
      <w:r w:rsidR="00AD38F3" w:rsidRPr="00D61359">
        <w:t>consumption of</w:t>
      </w:r>
      <w:r w:rsidR="0052629D">
        <w:t xml:space="preserve"> electrolyte drinks.</w:t>
      </w:r>
      <w:r w:rsidR="00AD38F3" w:rsidRPr="00D61359">
        <w:t xml:space="preserve"> </w:t>
      </w:r>
      <w:r w:rsidR="007871A2">
        <w:t xml:space="preserve">FSANZ’s dietary </w:t>
      </w:r>
      <w:r w:rsidR="00DA5028">
        <w:t>exposure assessment</w:t>
      </w:r>
      <w:r w:rsidR="007871A2">
        <w:t xml:space="preserve"> (see Section 1.5 above) found electrolyte </w:t>
      </w:r>
      <w:r w:rsidR="00DA5028">
        <w:t>drink intake</w:t>
      </w:r>
      <w:r w:rsidR="007871A2">
        <w:t xml:space="preserve"> among children in both Australia and New Zealand to be relatively low with </w:t>
      </w:r>
      <w:r w:rsidR="00DA5028">
        <w:t xml:space="preserve">consumption rates of </w:t>
      </w:r>
      <w:r w:rsidR="007871A2">
        <w:t>2 and 1 percent respectively</w:t>
      </w:r>
      <w:r w:rsidR="00DA5028" w:rsidRPr="00DA5028">
        <w:t xml:space="preserve"> </w:t>
      </w:r>
      <w:r w:rsidR="00DA5028">
        <w:t>being reported</w:t>
      </w:r>
      <w:r w:rsidR="007871A2">
        <w:t xml:space="preserve">. </w:t>
      </w:r>
      <w:r w:rsidR="00E4229D" w:rsidRPr="00D61359">
        <w:rPr>
          <w:rFonts w:cs="Arial"/>
          <w:szCs w:val="22"/>
        </w:rPr>
        <w:t xml:space="preserve">The beverage industry has confirmed </w:t>
      </w:r>
      <w:r w:rsidR="002B0E83">
        <w:rPr>
          <w:rFonts w:cs="Arial"/>
          <w:szCs w:val="22"/>
        </w:rPr>
        <w:t>that</w:t>
      </w:r>
      <w:r w:rsidR="00F30226">
        <w:rPr>
          <w:rFonts w:cs="Arial"/>
          <w:szCs w:val="22"/>
        </w:rPr>
        <w:t xml:space="preserve"> electrolyte drinks </w:t>
      </w:r>
      <w:r w:rsidR="00E4229D" w:rsidRPr="00D61359">
        <w:rPr>
          <w:rFonts w:cs="Arial"/>
          <w:szCs w:val="22"/>
        </w:rPr>
        <w:t>are not targeted at</w:t>
      </w:r>
      <w:r w:rsidR="00B813F6" w:rsidRPr="00D61359">
        <w:rPr>
          <w:rFonts w:cs="Arial"/>
          <w:szCs w:val="22"/>
        </w:rPr>
        <w:t xml:space="preserve"> children and </w:t>
      </w:r>
      <w:r w:rsidR="00B813F6" w:rsidRPr="00D61359">
        <w:rPr>
          <w:rFonts w:cs="Arial"/>
        </w:rPr>
        <w:t>acknowledge</w:t>
      </w:r>
      <w:r w:rsidR="00F30226">
        <w:rPr>
          <w:rFonts w:cs="Arial"/>
        </w:rPr>
        <w:t xml:space="preserve"> electrolyte drinks </w:t>
      </w:r>
      <w:r w:rsidR="00B813F6" w:rsidRPr="00D61359">
        <w:rPr>
          <w:rFonts w:cs="Arial"/>
        </w:rPr>
        <w:t>are</w:t>
      </w:r>
      <w:r w:rsidR="00E4229D" w:rsidRPr="00D61359">
        <w:rPr>
          <w:rFonts w:cs="Arial"/>
        </w:rPr>
        <w:t xml:space="preserve"> not generally suitable for </w:t>
      </w:r>
      <w:r w:rsidR="00362D61" w:rsidRPr="00D61359">
        <w:rPr>
          <w:rFonts w:cs="Arial"/>
        </w:rPr>
        <w:t>them</w:t>
      </w:r>
      <w:r w:rsidR="00E4229D" w:rsidRPr="00D61359">
        <w:rPr>
          <w:rFonts w:cs="Arial"/>
        </w:rPr>
        <w:t>.</w:t>
      </w:r>
      <w:r w:rsidR="00B813F6" w:rsidRPr="00D61359">
        <w:rPr>
          <w:rFonts w:cs="Arial"/>
        </w:rPr>
        <w:t xml:space="preserve"> </w:t>
      </w:r>
      <w:r w:rsidR="00362D61" w:rsidRPr="00D61359">
        <w:rPr>
          <w:rFonts w:cs="Arial"/>
          <w:szCs w:val="22"/>
        </w:rPr>
        <w:t>Further th</w:t>
      </w:r>
      <w:r w:rsidR="00B813F6" w:rsidRPr="00D61359">
        <w:rPr>
          <w:rFonts w:cs="Arial"/>
          <w:szCs w:val="22"/>
        </w:rPr>
        <w:t>ey recognise the type of physical activity undertaken by children is usually of lower intensity and short</w:t>
      </w:r>
      <w:r w:rsidR="00793292">
        <w:rPr>
          <w:rFonts w:cs="Arial"/>
          <w:szCs w:val="22"/>
        </w:rPr>
        <w:t>er</w:t>
      </w:r>
      <w:r w:rsidR="00B813F6" w:rsidRPr="00D61359">
        <w:rPr>
          <w:rFonts w:cs="Arial"/>
          <w:szCs w:val="22"/>
        </w:rPr>
        <w:t xml:space="preserve"> duration</w:t>
      </w:r>
      <w:r w:rsidR="00A44DA2" w:rsidRPr="00D61359">
        <w:rPr>
          <w:rFonts w:cs="Arial"/>
          <w:szCs w:val="22"/>
        </w:rPr>
        <w:t xml:space="preserve"> and</w:t>
      </w:r>
      <w:r w:rsidR="00B813F6" w:rsidRPr="00D61359">
        <w:rPr>
          <w:rFonts w:cs="Arial"/>
          <w:szCs w:val="22"/>
        </w:rPr>
        <w:t xml:space="preserve"> the use of</w:t>
      </w:r>
      <w:r w:rsidR="00F30226">
        <w:rPr>
          <w:rFonts w:cs="Arial"/>
          <w:szCs w:val="22"/>
        </w:rPr>
        <w:t xml:space="preserve"> electrolyte drinks </w:t>
      </w:r>
      <w:r w:rsidR="00B813F6" w:rsidRPr="00D61359">
        <w:rPr>
          <w:rFonts w:cs="Arial"/>
          <w:szCs w:val="22"/>
        </w:rPr>
        <w:t xml:space="preserve">is </w:t>
      </w:r>
      <w:r w:rsidR="000153F9" w:rsidRPr="00D61359">
        <w:rPr>
          <w:rFonts w:cs="Arial"/>
          <w:szCs w:val="22"/>
        </w:rPr>
        <w:t xml:space="preserve">therefore </w:t>
      </w:r>
      <w:r w:rsidR="00B813F6" w:rsidRPr="00D61359">
        <w:rPr>
          <w:rFonts w:cs="Arial"/>
          <w:szCs w:val="22"/>
        </w:rPr>
        <w:t xml:space="preserve">not necessary. </w:t>
      </w:r>
      <w:r w:rsidR="002B0E83">
        <w:rPr>
          <w:rFonts w:cs="Arial"/>
          <w:szCs w:val="22"/>
        </w:rPr>
        <w:t>Although</w:t>
      </w:r>
      <w:r w:rsidR="00B813F6" w:rsidRPr="00D61359">
        <w:rPr>
          <w:rFonts w:cs="Arial"/>
          <w:szCs w:val="22"/>
        </w:rPr>
        <w:t xml:space="preserve"> </w:t>
      </w:r>
      <w:r w:rsidR="000153F9" w:rsidRPr="00D61359">
        <w:rPr>
          <w:rFonts w:cs="Arial"/>
          <w:szCs w:val="22"/>
        </w:rPr>
        <w:t>the industry</w:t>
      </w:r>
      <w:r w:rsidR="00B813F6" w:rsidRPr="00D61359">
        <w:rPr>
          <w:rFonts w:cs="Arial"/>
          <w:szCs w:val="22"/>
        </w:rPr>
        <w:t xml:space="preserve"> note</w:t>
      </w:r>
      <w:r w:rsidR="002B0E83">
        <w:rPr>
          <w:rFonts w:cs="Arial"/>
          <w:szCs w:val="22"/>
        </w:rPr>
        <w:t>s</w:t>
      </w:r>
      <w:r w:rsidR="00B813F6" w:rsidRPr="00D61359">
        <w:rPr>
          <w:rFonts w:cs="Arial"/>
          <w:szCs w:val="22"/>
        </w:rPr>
        <w:t xml:space="preserve"> some competitive young athletes may benefit from the use of</w:t>
      </w:r>
      <w:r w:rsidR="00F30226">
        <w:rPr>
          <w:rFonts w:cs="Arial"/>
          <w:szCs w:val="22"/>
        </w:rPr>
        <w:t xml:space="preserve"> electrolyte drinks </w:t>
      </w:r>
      <w:r w:rsidR="00B813F6" w:rsidRPr="00D61359">
        <w:rPr>
          <w:rFonts w:cs="Arial"/>
          <w:szCs w:val="22"/>
        </w:rPr>
        <w:t>during prolonged exercise</w:t>
      </w:r>
      <w:r w:rsidR="002B0E83">
        <w:rPr>
          <w:rFonts w:cs="Arial"/>
          <w:szCs w:val="22"/>
        </w:rPr>
        <w:t>,</w:t>
      </w:r>
      <w:r w:rsidR="00B813F6" w:rsidRPr="00D61359">
        <w:rPr>
          <w:rFonts w:cs="Arial"/>
          <w:szCs w:val="22"/>
        </w:rPr>
        <w:t xml:space="preserve"> </w:t>
      </w:r>
      <w:r w:rsidR="002B0E83">
        <w:rPr>
          <w:rFonts w:cs="Arial"/>
          <w:szCs w:val="22"/>
        </w:rPr>
        <w:t>it</w:t>
      </w:r>
      <w:r w:rsidR="00B813F6" w:rsidRPr="00D61359">
        <w:rPr>
          <w:rFonts w:cs="Arial"/>
          <w:szCs w:val="22"/>
        </w:rPr>
        <w:t xml:space="preserve"> believe</w:t>
      </w:r>
      <w:r w:rsidR="002B0E83">
        <w:rPr>
          <w:rFonts w:cs="Arial"/>
          <w:szCs w:val="22"/>
        </w:rPr>
        <w:t>s</w:t>
      </w:r>
      <w:r w:rsidR="00B813F6" w:rsidRPr="00D61359">
        <w:rPr>
          <w:rFonts w:cs="Arial"/>
          <w:szCs w:val="22"/>
        </w:rPr>
        <w:t xml:space="preserve"> it is the place of parents/caregivers or coa</w:t>
      </w:r>
      <w:r w:rsidR="0051590F">
        <w:rPr>
          <w:rFonts w:cs="Arial"/>
          <w:szCs w:val="22"/>
        </w:rPr>
        <w:t>ches to help make this decision</w:t>
      </w:r>
      <w:r w:rsidR="000153F9" w:rsidRPr="00D61359">
        <w:rPr>
          <w:rFonts w:cs="Arial"/>
        </w:rPr>
        <w:t>.</w:t>
      </w:r>
      <w:r w:rsidR="00B813F6" w:rsidRPr="00D61359">
        <w:rPr>
          <w:rFonts w:cs="Arial"/>
        </w:rPr>
        <w:t xml:space="preserve"> </w:t>
      </w:r>
    </w:p>
    <w:p w14:paraId="12AC5451" w14:textId="1D39A347" w:rsidR="009B26DA" w:rsidRDefault="009B26DA" w:rsidP="001F04BF">
      <w:pPr>
        <w:widowControl/>
        <w:spacing w:after="120"/>
      </w:pPr>
      <w:r>
        <w:t xml:space="preserve">Further, </w:t>
      </w:r>
      <w:r w:rsidR="00AD38F3">
        <w:t xml:space="preserve">the label information </w:t>
      </w:r>
      <w:r w:rsidR="005935AA">
        <w:t xml:space="preserve">about the target population in association with </w:t>
      </w:r>
      <w:r w:rsidR="00FF67DB">
        <w:t xml:space="preserve">health </w:t>
      </w:r>
      <w:r w:rsidR="005935AA">
        <w:t xml:space="preserve">claims </w:t>
      </w:r>
      <w:r w:rsidR="00DA2C0C">
        <w:t>would</w:t>
      </w:r>
      <w:r>
        <w:t xml:space="preserve"> be available to</w:t>
      </w:r>
      <w:r w:rsidR="00AD38F3">
        <w:t xml:space="preserve"> advise parents of the </w:t>
      </w:r>
      <w:r>
        <w:t>relevance</w:t>
      </w:r>
      <w:r w:rsidR="00AD38F3">
        <w:t xml:space="preserve"> of these products for their children.  </w:t>
      </w:r>
    </w:p>
    <w:p w14:paraId="2626C921" w14:textId="3B0E0B49" w:rsidR="00A44DA2" w:rsidRPr="00F624D8" w:rsidRDefault="00F624D8" w:rsidP="00F624D8">
      <w:pPr>
        <w:widowControl/>
        <w:spacing w:after="120"/>
        <w:rPr>
          <w:rFonts w:cs="Arial"/>
          <w:szCs w:val="20"/>
        </w:rPr>
      </w:pPr>
      <w:r>
        <w:t xml:space="preserve">As </w:t>
      </w:r>
      <w:r w:rsidR="00E25F54">
        <w:t xml:space="preserve">previously </w:t>
      </w:r>
      <w:r>
        <w:t>mentioned (see Section 1.6</w:t>
      </w:r>
      <w:r w:rsidR="00E25F54">
        <w:t xml:space="preserve"> above</w:t>
      </w:r>
      <w:r>
        <w:t xml:space="preserve">), </w:t>
      </w:r>
      <w:r w:rsidR="00E25F54">
        <w:t>Colmar Brunton (2010)</w:t>
      </w:r>
      <w:r w:rsidR="006D4B4A" w:rsidRPr="006D4B4A">
        <w:t xml:space="preserve"> </w:t>
      </w:r>
      <w:r w:rsidR="001C6400" w:rsidRPr="006D4B4A">
        <w:t>noted</w:t>
      </w:r>
      <w:r w:rsidR="00AD38F3" w:rsidRPr="006D4B4A">
        <w:t xml:space="preserve"> that</w:t>
      </w:r>
      <w:r w:rsidR="00F30226">
        <w:t xml:space="preserve"> electrolyte drinks </w:t>
      </w:r>
      <w:r w:rsidR="00AD38F3">
        <w:t xml:space="preserve">are </w:t>
      </w:r>
      <w:r w:rsidR="002F2023">
        <w:t xml:space="preserve">also </w:t>
      </w:r>
      <w:r w:rsidR="00AD38F3">
        <w:t xml:space="preserve">consumed </w:t>
      </w:r>
      <w:r w:rsidR="009B26DA">
        <w:t xml:space="preserve">because of their </w:t>
      </w:r>
      <w:r w:rsidR="00AD38F3">
        <w:t xml:space="preserve">lower </w:t>
      </w:r>
      <w:r w:rsidR="0052629D">
        <w:t>carbohydrate</w:t>
      </w:r>
      <w:r w:rsidR="00AD38F3">
        <w:t xml:space="preserve"> </w:t>
      </w:r>
      <w:r w:rsidR="009B26DA">
        <w:t xml:space="preserve">levels than other </w:t>
      </w:r>
      <w:r w:rsidR="00F02BA0">
        <w:t>sugar-sweetened</w:t>
      </w:r>
      <w:r w:rsidR="00AD38F3" w:rsidRPr="0030579C">
        <w:t xml:space="preserve"> beverage</w:t>
      </w:r>
      <w:r w:rsidR="009B26DA" w:rsidRPr="0030579C">
        <w:t>s</w:t>
      </w:r>
      <w:r w:rsidR="00AD38F3">
        <w:t>.</w:t>
      </w:r>
      <w:r w:rsidR="00A44DA2">
        <w:t xml:space="preserve"> </w:t>
      </w:r>
      <w:r w:rsidR="006D4B4A">
        <w:t>These</w:t>
      </w:r>
      <w:r w:rsidR="006D4B4A" w:rsidRPr="001C6400">
        <w:t xml:space="preserve"> </w:t>
      </w:r>
      <w:r w:rsidR="001C6400" w:rsidRPr="001C6400">
        <w:t>consumers see</w:t>
      </w:r>
      <w:r w:rsidR="00F30226">
        <w:t xml:space="preserve"> electrolyte drinks </w:t>
      </w:r>
      <w:r w:rsidR="001C6400" w:rsidRPr="001C6400">
        <w:t>as an alternative to soft drinks when purchasing for thirst or lethargy related reasons as they view</w:t>
      </w:r>
      <w:r w:rsidR="00F30226">
        <w:t xml:space="preserve"> electrolyte drinks </w:t>
      </w:r>
      <w:r w:rsidR="001C6400" w:rsidRPr="001C6400">
        <w:t xml:space="preserve">to be healthier than soft drinks. </w:t>
      </w:r>
    </w:p>
    <w:p w14:paraId="414BB7D9" w14:textId="124F0B66" w:rsidR="004808E9" w:rsidRDefault="004808E9" w:rsidP="001F04BF">
      <w:pPr>
        <w:pStyle w:val="Heading3"/>
        <w:widowControl/>
        <w:spacing w:before="120" w:after="120"/>
      </w:pPr>
      <w:bookmarkStart w:id="220" w:name="_Toc60825012"/>
      <w:bookmarkStart w:id="221" w:name="_Toc61442316"/>
      <w:bookmarkStart w:id="222" w:name="_Toc61449860"/>
      <w:bookmarkStart w:id="223" w:name="_Toc63342504"/>
      <w:bookmarkStart w:id="224" w:name="_Toc71711643"/>
      <w:bookmarkStart w:id="225" w:name="_Toc72673577"/>
      <w:r>
        <w:t>2.</w:t>
      </w:r>
      <w:r w:rsidR="0093632E">
        <w:t>4</w:t>
      </w:r>
      <w:r w:rsidR="008F6528">
        <w:t>.2</w:t>
      </w:r>
      <w:r>
        <w:tab/>
        <w:t xml:space="preserve">Use </w:t>
      </w:r>
      <w:r w:rsidR="004E361E">
        <w:t>of intense sweeteners</w:t>
      </w:r>
      <w:bookmarkEnd w:id="220"/>
      <w:bookmarkEnd w:id="221"/>
      <w:bookmarkEnd w:id="222"/>
      <w:bookmarkEnd w:id="223"/>
      <w:bookmarkEnd w:id="224"/>
      <w:bookmarkEnd w:id="225"/>
      <w:r w:rsidR="004E361E">
        <w:t xml:space="preserve"> </w:t>
      </w:r>
    </w:p>
    <w:p w14:paraId="3AB5D7F9" w14:textId="07F019EE" w:rsidR="00211ECE" w:rsidRDefault="009B26DA" w:rsidP="001F04BF">
      <w:pPr>
        <w:widowControl/>
        <w:spacing w:before="120" w:after="120"/>
      </w:pPr>
      <w:r>
        <w:t xml:space="preserve">With </w:t>
      </w:r>
      <w:r w:rsidR="005E036E">
        <w:t xml:space="preserve">the proposed </w:t>
      </w:r>
      <w:r>
        <w:t xml:space="preserve">reduction in the amount of </w:t>
      </w:r>
      <w:r w:rsidR="0052629D">
        <w:t>carbohydrate</w:t>
      </w:r>
      <w:r w:rsidR="00942030">
        <w:t xml:space="preserve"> </w:t>
      </w:r>
      <w:r w:rsidR="000926DB">
        <w:t>potentially available t</w:t>
      </w:r>
      <w:r w:rsidR="00942030">
        <w:t xml:space="preserve">o </w:t>
      </w:r>
      <w:r w:rsidR="001221D2">
        <w:t>electrolyte drink</w:t>
      </w:r>
      <w:r w:rsidR="00942030">
        <w:t>s</w:t>
      </w:r>
      <w:r>
        <w:t xml:space="preserve">, </w:t>
      </w:r>
      <w:r w:rsidR="00942030">
        <w:t xml:space="preserve">intense sweeteners </w:t>
      </w:r>
      <w:r w:rsidR="000926DB">
        <w:t xml:space="preserve">may be </w:t>
      </w:r>
      <w:r w:rsidR="00120F42">
        <w:t xml:space="preserve">more commonly </w:t>
      </w:r>
      <w:r w:rsidR="000926DB">
        <w:t xml:space="preserve">used </w:t>
      </w:r>
      <w:r w:rsidR="00942030">
        <w:t>to boost the sweetness of</w:t>
      </w:r>
      <w:r w:rsidR="0052629D">
        <w:t xml:space="preserve"> electrolyte drinks.</w:t>
      </w:r>
      <w:r>
        <w:t xml:space="preserve"> </w:t>
      </w:r>
      <w:r w:rsidR="000926DB">
        <w:t>P</w:t>
      </w:r>
      <w:r w:rsidR="00942030">
        <w:t>ermissions</w:t>
      </w:r>
      <w:r w:rsidR="00211ECE">
        <w:t xml:space="preserve"> </w:t>
      </w:r>
      <w:r w:rsidR="000926DB">
        <w:t>for</w:t>
      </w:r>
      <w:r w:rsidR="00211ECE">
        <w:t xml:space="preserve"> intense sweeteners for water-based flavoured drinks and</w:t>
      </w:r>
      <w:r w:rsidR="00F30226">
        <w:t xml:space="preserve"> electrolyte drinks </w:t>
      </w:r>
      <w:r w:rsidR="000926DB">
        <w:t>are listed</w:t>
      </w:r>
      <w:r w:rsidR="00942030">
        <w:t xml:space="preserve"> </w:t>
      </w:r>
      <w:r w:rsidR="00211ECE">
        <w:t xml:space="preserve">in </w:t>
      </w:r>
      <w:r w:rsidR="00FD1E9F">
        <w:t xml:space="preserve">item </w:t>
      </w:r>
      <w:r w:rsidR="00211ECE">
        <w:t xml:space="preserve">14.1.3 </w:t>
      </w:r>
      <w:r w:rsidR="000D4089">
        <w:t xml:space="preserve">of </w:t>
      </w:r>
      <w:r w:rsidR="00FD1E9F">
        <w:t xml:space="preserve">the table to </w:t>
      </w:r>
      <w:r w:rsidR="00FD1E9F">
        <w:lastRenderedPageBreak/>
        <w:t>section S15—5</w:t>
      </w:r>
      <w:r w:rsidR="00211ECE">
        <w:t xml:space="preserve"> </w:t>
      </w:r>
      <w:r w:rsidR="000926DB">
        <w:t xml:space="preserve">and all such permissions </w:t>
      </w:r>
      <w:r w:rsidR="00211ECE">
        <w:t>have maximum limits.</w:t>
      </w:r>
      <w:r w:rsidR="00211ECE" w:rsidRPr="00211ECE">
        <w:t xml:space="preserve"> </w:t>
      </w:r>
      <w:r w:rsidR="004D030F">
        <w:t>L</w:t>
      </w:r>
      <w:r w:rsidR="00211ECE" w:rsidRPr="000C30C7">
        <w:t>imitation</w:t>
      </w:r>
      <w:r w:rsidR="00211ECE">
        <w:t>s</w:t>
      </w:r>
      <w:r w:rsidR="00211ECE" w:rsidRPr="000C30C7">
        <w:t xml:space="preserve"> on </w:t>
      </w:r>
      <w:r w:rsidR="00211ECE">
        <w:t xml:space="preserve">the </w:t>
      </w:r>
      <w:r w:rsidR="00211ECE" w:rsidRPr="000C30C7">
        <w:t>use of intense sweeteners</w:t>
      </w:r>
      <w:r w:rsidR="00211ECE" w:rsidRPr="0083178D">
        <w:t xml:space="preserve"> </w:t>
      </w:r>
      <w:r w:rsidR="00211ECE">
        <w:t xml:space="preserve">are outlined </w:t>
      </w:r>
      <w:r w:rsidR="00211ECE" w:rsidRPr="0083178D">
        <w:t>Standard 1.3.1</w:t>
      </w:r>
      <w:r w:rsidR="005E2989">
        <w:t xml:space="preserve"> (subsection 1.3.1</w:t>
      </w:r>
      <w:r w:rsidR="00211ECE" w:rsidRPr="0083178D">
        <w:t>—5</w:t>
      </w:r>
      <w:r w:rsidR="005E2989">
        <w:t>)</w:t>
      </w:r>
      <w:r w:rsidR="004D030F">
        <w:t>,</w:t>
      </w:r>
      <w:r w:rsidR="00211ECE">
        <w:t xml:space="preserve"> which states </w:t>
      </w:r>
      <w:r w:rsidR="00211ECE" w:rsidRPr="0083178D">
        <w:t>a substance that may be used as a food additive to perform the technological purpose of an intense sweete</w:t>
      </w:r>
      <w:r w:rsidR="00211ECE">
        <w:t>ner</w:t>
      </w:r>
      <w:r w:rsidR="004D030F">
        <w:t>,</w:t>
      </w:r>
      <w:r w:rsidR="00211ECE">
        <w:t xml:space="preserve"> may be added to a food only</w:t>
      </w:r>
      <w:r w:rsidR="00780A17">
        <w:t>:</w:t>
      </w:r>
      <w:r w:rsidR="00211ECE">
        <w:t xml:space="preserve"> </w:t>
      </w:r>
      <w:r w:rsidR="00211ECE" w:rsidRPr="0083178D">
        <w:t xml:space="preserve">as </w:t>
      </w:r>
      <w:r w:rsidR="00211ECE">
        <w:t xml:space="preserve">a flavour enhancer or </w:t>
      </w:r>
      <w:r w:rsidR="00211ECE" w:rsidRPr="0083178D">
        <w:t xml:space="preserve">in an amount necessary to replace, either wholly or partially, the sweetness normally provided by sugars. </w:t>
      </w:r>
    </w:p>
    <w:p w14:paraId="15F44AE2" w14:textId="17F742AA" w:rsidR="0083178D" w:rsidRDefault="008F6528" w:rsidP="001F04BF">
      <w:pPr>
        <w:pStyle w:val="Heading3"/>
        <w:widowControl/>
        <w:spacing w:before="120" w:after="120"/>
      </w:pPr>
      <w:bookmarkStart w:id="226" w:name="_Toc60825013"/>
      <w:bookmarkStart w:id="227" w:name="_Toc61442317"/>
      <w:bookmarkStart w:id="228" w:name="_Toc61449861"/>
      <w:bookmarkStart w:id="229" w:name="_Toc63342505"/>
      <w:bookmarkStart w:id="230" w:name="_Toc71711644"/>
      <w:bookmarkStart w:id="231" w:name="_Toc72673578"/>
      <w:r w:rsidRPr="00211ECE">
        <w:t>2.4.3</w:t>
      </w:r>
      <w:r w:rsidRPr="00211ECE">
        <w:tab/>
        <w:t xml:space="preserve">The use of the term </w:t>
      </w:r>
      <w:r w:rsidR="0093632E" w:rsidRPr="00211ECE">
        <w:t>‘</w:t>
      </w:r>
      <w:r w:rsidRPr="00211ECE">
        <w:t>electrolyte</w:t>
      </w:r>
      <w:r w:rsidR="0093632E" w:rsidRPr="00211ECE">
        <w:t>’</w:t>
      </w:r>
      <w:bookmarkEnd w:id="226"/>
      <w:bookmarkEnd w:id="227"/>
      <w:bookmarkEnd w:id="228"/>
      <w:bookmarkEnd w:id="229"/>
      <w:bookmarkEnd w:id="230"/>
      <w:bookmarkEnd w:id="231"/>
    </w:p>
    <w:p w14:paraId="272B721C" w14:textId="66D30D30" w:rsidR="009B26DA" w:rsidRPr="009B26DA" w:rsidRDefault="009B26DA" w:rsidP="001F04BF">
      <w:pPr>
        <w:widowControl/>
        <w:spacing w:before="120" w:after="120"/>
        <w:rPr>
          <w:lang w:eastAsia="en-AU" w:bidi="ar-SA"/>
        </w:rPr>
      </w:pPr>
      <w:r>
        <w:rPr>
          <w:lang w:eastAsia="en-AU" w:bidi="ar-SA"/>
        </w:rPr>
        <w:t xml:space="preserve">FSANZ is aware of the increasing use of the term </w:t>
      </w:r>
      <w:r w:rsidRPr="00DE2662">
        <w:rPr>
          <w:i/>
          <w:lang w:eastAsia="en-AU" w:bidi="ar-SA"/>
        </w:rPr>
        <w:t>electrolyte</w:t>
      </w:r>
      <w:r>
        <w:rPr>
          <w:lang w:eastAsia="en-AU" w:bidi="ar-SA"/>
        </w:rPr>
        <w:t xml:space="preserve"> on </w:t>
      </w:r>
      <w:r w:rsidR="00754402">
        <w:rPr>
          <w:lang w:eastAsia="en-AU" w:bidi="ar-SA"/>
        </w:rPr>
        <w:t>foods</w:t>
      </w:r>
      <w:r>
        <w:rPr>
          <w:lang w:eastAsia="en-AU" w:bidi="ar-SA"/>
        </w:rPr>
        <w:t xml:space="preserve"> </w:t>
      </w:r>
      <w:r w:rsidR="00754402">
        <w:rPr>
          <w:lang w:eastAsia="en-AU" w:bidi="ar-SA"/>
        </w:rPr>
        <w:t>other than</w:t>
      </w:r>
      <w:r w:rsidR="00F30226">
        <w:rPr>
          <w:lang w:eastAsia="en-AU" w:bidi="ar-SA"/>
        </w:rPr>
        <w:t xml:space="preserve"> electrolyte drinks </w:t>
      </w:r>
      <w:r w:rsidR="00DE2662">
        <w:rPr>
          <w:lang w:eastAsia="en-AU" w:bidi="ar-SA"/>
        </w:rPr>
        <w:t xml:space="preserve">such as </w:t>
      </w:r>
      <w:r>
        <w:rPr>
          <w:lang w:eastAsia="en-AU" w:bidi="ar-SA"/>
        </w:rPr>
        <w:t>sports waters</w:t>
      </w:r>
      <w:r w:rsidR="000926DB">
        <w:rPr>
          <w:lang w:eastAsia="en-AU" w:bidi="ar-SA"/>
        </w:rPr>
        <w:t>, formulated beverages</w:t>
      </w:r>
      <w:r>
        <w:rPr>
          <w:lang w:eastAsia="en-AU" w:bidi="ar-SA"/>
        </w:rPr>
        <w:t xml:space="preserve">, </w:t>
      </w:r>
      <w:r w:rsidR="000926DB">
        <w:rPr>
          <w:lang w:eastAsia="en-AU" w:bidi="ar-SA"/>
        </w:rPr>
        <w:t xml:space="preserve">and other </w:t>
      </w:r>
      <w:r w:rsidR="00211ECE">
        <w:rPr>
          <w:lang w:eastAsia="en-AU" w:bidi="ar-SA"/>
        </w:rPr>
        <w:t>products</w:t>
      </w:r>
      <w:r>
        <w:rPr>
          <w:lang w:eastAsia="en-AU" w:bidi="ar-SA"/>
        </w:rPr>
        <w:t xml:space="preserve">. </w:t>
      </w:r>
      <w:r w:rsidR="00211ECE">
        <w:rPr>
          <w:lang w:eastAsia="en-AU" w:bidi="ar-SA"/>
        </w:rPr>
        <w:t xml:space="preserve">The more general use of </w:t>
      </w:r>
      <w:r w:rsidR="00793292" w:rsidRPr="00793292">
        <w:rPr>
          <w:i/>
          <w:lang w:eastAsia="en-AU" w:bidi="ar-SA"/>
        </w:rPr>
        <w:t>electrolyte</w:t>
      </w:r>
      <w:r w:rsidR="00793292">
        <w:rPr>
          <w:lang w:eastAsia="en-AU" w:bidi="ar-SA"/>
        </w:rPr>
        <w:t xml:space="preserve"> </w:t>
      </w:r>
      <w:r w:rsidR="00211ECE">
        <w:rPr>
          <w:lang w:eastAsia="en-AU" w:bidi="ar-SA"/>
        </w:rPr>
        <w:t xml:space="preserve">falls outside the scope of this </w:t>
      </w:r>
      <w:r w:rsidR="0064746C">
        <w:rPr>
          <w:lang w:eastAsia="en-AU" w:bidi="ar-SA"/>
        </w:rPr>
        <w:t>p</w:t>
      </w:r>
      <w:r w:rsidR="00780A17">
        <w:rPr>
          <w:lang w:eastAsia="en-AU" w:bidi="ar-SA"/>
        </w:rPr>
        <w:t>roposal</w:t>
      </w:r>
      <w:r w:rsidR="00211ECE">
        <w:rPr>
          <w:lang w:eastAsia="en-AU" w:bidi="ar-SA"/>
        </w:rPr>
        <w:t xml:space="preserve">, but it may be </w:t>
      </w:r>
      <w:r>
        <w:rPr>
          <w:lang w:eastAsia="en-AU" w:bidi="ar-SA"/>
        </w:rPr>
        <w:t>reviewed under P1010.</w:t>
      </w:r>
      <w:r w:rsidR="00942030">
        <w:rPr>
          <w:lang w:eastAsia="en-AU" w:bidi="ar-SA"/>
        </w:rPr>
        <w:t xml:space="preserve">  </w:t>
      </w:r>
    </w:p>
    <w:p w14:paraId="7D2F873E" w14:textId="2D08ECED" w:rsidR="001077BB" w:rsidRPr="00932F14" w:rsidRDefault="001077BB" w:rsidP="00303F27">
      <w:pPr>
        <w:pStyle w:val="Heading2"/>
      </w:pPr>
      <w:bookmarkStart w:id="232" w:name="_Toc425174938"/>
      <w:bookmarkStart w:id="233" w:name="_Toc60825014"/>
      <w:bookmarkStart w:id="234" w:name="_Toc61442318"/>
      <w:bookmarkStart w:id="235" w:name="_Toc61449862"/>
      <w:bookmarkStart w:id="236" w:name="_Toc63342506"/>
      <w:bookmarkStart w:id="237" w:name="_Toc71711645"/>
      <w:bookmarkStart w:id="238" w:name="_Toc72673579"/>
      <w:r>
        <w:t>2.</w:t>
      </w:r>
      <w:r w:rsidR="0093632E">
        <w:t>5</w:t>
      </w:r>
      <w:r>
        <w:tab/>
        <w:t>Risk communication</w:t>
      </w:r>
      <w:bookmarkEnd w:id="232"/>
      <w:bookmarkEnd w:id="233"/>
      <w:bookmarkEnd w:id="234"/>
      <w:bookmarkEnd w:id="235"/>
      <w:bookmarkEnd w:id="236"/>
      <w:bookmarkEnd w:id="237"/>
      <w:bookmarkEnd w:id="238"/>
      <w:r>
        <w:t xml:space="preserve"> </w:t>
      </w:r>
    </w:p>
    <w:p w14:paraId="23643EF3" w14:textId="77001551" w:rsidR="001077BB" w:rsidRPr="00C22ABE" w:rsidRDefault="001077BB" w:rsidP="00424BD1">
      <w:pPr>
        <w:pStyle w:val="Heading3"/>
        <w:widowControl/>
        <w:spacing w:before="120" w:after="120"/>
        <w:rPr>
          <w:color w:val="auto"/>
        </w:rPr>
      </w:pPr>
      <w:bookmarkStart w:id="239" w:name="_Toc425174939"/>
      <w:bookmarkStart w:id="240" w:name="_Toc60825015"/>
      <w:bookmarkStart w:id="241" w:name="_Toc61442319"/>
      <w:bookmarkStart w:id="242" w:name="_Toc61449863"/>
      <w:bookmarkStart w:id="243" w:name="_Toc63342507"/>
      <w:bookmarkStart w:id="244" w:name="_Toc71711646"/>
      <w:bookmarkStart w:id="245" w:name="_Toc72673580"/>
      <w:r w:rsidRPr="00C22ABE">
        <w:rPr>
          <w:color w:val="auto"/>
        </w:rPr>
        <w:t>2.</w:t>
      </w:r>
      <w:r w:rsidR="0093632E">
        <w:rPr>
          <w:color w:val="auto"/>
        </w:rPr>
        <w:t>5</w:t>
      </w:r>
      <w:r w:rsidRPr="00C22ABE">
        <w:rPr>
          <w:color w:val="auto"/>
        </w:rPr>
        <w:t>.1</w:t>
      </w:r>
      <w:r w:rsidRPr="00C22ABE">
        <w:rPr>
          <w:color w:val="auto"/>
        </w:rPr>
        <w:tab/>
        <w:t>Consultation</w:t>
      </w:r>
      <w:bookmarkEnd w:id="239"/>
      <w:bookmarkEnd w:id="240"/>
      <w:bookmarkEnd w:id="241"/>
      <w:bookmarkEnd w:id="242"/>
      <w:bookmarkEnd w:id="243"/>
      <w:bookmarkEnd w:id="244"/>
      <w:bookmarkEnd w:id="245"/>
    </w:p>
    <w:p w14:paraId="57CFB9A2" w14:textId="77777777" w:rsidR="001077BB" w:rsidRPr="00C22ABE" w:rsidRDefault="001077BB" w:rsidP="00424BD1">
      <w:pPr>
        <w:widowControl/>
        <w:spacing w:before="120" w:after="120"/>
        <w:rPr>
          <w:szCs w:val="22"/>
        </w:rPr>
      </w:pPr>
      <w:r w:rsidRPr="00C22ABE">
        <w:rPr>
          <w:szCs w:val="22"/>
        </w:rPr>
        <w:t xml:space="preserve">Consultation is a key part of FSANZ’s standards development process. </w:t>
      </w:r>
    </w:p>
    <w:p w14:paraId="24AEBF3B" w14:textId="2B553DB3" w:rsidR="00C22ABE" w:rsidRPr="00C22ABE" w:rsidRDefault="001077BB" w:rsidP="00424BD1">
      <w:pPr>
        <w:widowControl/>
        <w:spacing w:before="120" w:after="120"/>
      </w:pPr>
      <w:r w:rsidRPr="00C22ABE">
        <w:rPr>
          <w:szCs w:val="22"/>
        </w:rPr>
        <w:t xml:space="preserve">FSANZ acknowledges the time taken by individuals and organisations to make submissions on this </w:t>
      </w:r>
      <w:r w:rsidR="0064746C">
        <w:rPr>
          <w:szCs w:val="22"/>
        </w:rPr>
        <w:t>p</w:t>
      </w:r>
      <w:r w:rsidR="003E5D17" w:rsidRPr="00C22ABE">
        <w:rPr>
          <w:szCs w:val="22"/>
        </w:rPr>
        <w:t>roposal</w:t>
      </w:r>
      <w:r w:rsidRPr="00C22ABE">
        <w:rPr>
          <w:szCs w:val="22"/>
        </w:rPr>
        <w:t xml:space="preserve">. </w:t>
      </w:r>
      <w:r w:rsidR="00C22ABE" w:rsidRPr="00C22ABE">
        <w:t xml:space="preserve">Following the </w:t>
      </w:r>
      <w:r w:rsidR="00B205A8">
        <w:t>CFS</w:t>
      </w:r>
      <w:r w:rsidR="00C22ABE" w:rsidRPr="00C22ABE">
        <w:t xml:space="preserve">, </w:t>
      </w:r>
      <w:r w:rsidR="003E5D17">
        <w:t>FSANZ had regard to all submissions made during the submission period,</w:t>
      </w:r>
      <w:r w:rsidR="000739F5">
        <w:t xml:space="preserve"> </w:t>
      </w:r>
      <w:r w:rsidR="00C73F29">
        <w:t>industry representations</w:t>
      </w:r>
      <w:r w:rsidR="00C22ABE" w:rsidRPr="00C22ABE">
        <w:t xml:space="preserve"> </w:t>
      </w:r>
      <w:r w:rsidR="00C73F29">
        <w:t>and</w:t>
      </w:r>
      <w:r w:rsidR="004234E8">
        <w:t xml:space="preserve"> recent market developments</w:t>
      </w:r>
      <w:r w:rsidR="003E5D17">
        <w:t>,</w:t>
      </w:r>
      <w:r w:rsidR="00C22ABE" w:rsidRPr="00C22ABE">
        <w:t xml:space="preserve"> </w:t>
      </w:r>
      <w:r w:rsidR="000739F5">
        <w:t>which resulted in a</w:t>
      </w:r>
      <w:r w:rsidR="00C22ABE">
        <w:t xml:space="preserve"> chang</w:t>
      </w:r>
      <w:r w:rsidR="008A2C4A">
        <w:t>e</w:t>
      </w:r>
      <w:r w:rsidR="00C22ABE">
        <w:t xml:space="preserve"> </w:t>
      </w:r>
      <w:r w:rsidR="000739F5">
        <w:t>in</w:t>
      </w:r>
      <w:r w:rsidR="00B25D37">
        <w:t xml:space="preserve"> the</w:t>
      </w:r>
      <w:r w:rsidR="000739F5">
        <w:t xml:space="preserve"> </w:t>
      </w:r>
      <w:r w:rsidR="008A2C4A">
        <w:t>direction and scope o</w:t>
      </w:r>
      <w:r w:rsidR="00C22ABE">
        <w:t xml:space="preserve">f the </w:t>
      </w:r>
      <w:r w:rsidR="0064746C">
        <w:t>p</w:t>
      </w:r>
      <w:r w:rsidR="00C22ABE">
        <w:t>roposal</w:t>
      </w:r>
      <w:r w:rsidR="008A2C4A">
        <w:t>. FSANZ thus</w:t>
      </w:r>
      <w:r w:rsidR="00C22ABE" w:rsidRPr="00C22ABE">
        <w:t xml:space="preserve"> determine</w:t>
      </w:r>
      <w:r w:rsidR="00C22ABE">
        <w:t>d</w:t>
      </w:r>
      <w:r w:rsidR="00C22ABE" w:rsidRPr="00C22ABE">
        <w:t xml:space="preserve"> that additional consultation </w:t>
      </w:r>
      <w:r w:rsidR="00C22ABE">
        <w:t>was</w:t>
      </w:r>
      <w:r w:rsidR="00C22ABE" w:rsidRPr="00C22ABE">
        <w:t xml:space="preserve"> required </w:t>
      </w:r>
      <w:r w:rsidR="002B14B7">
        <w:t xml:space="preserve">on this change in direction and scope </w:t>
      </w:r>
      <w:r w:rsidR="00C22ABE" w:rsidRPr="00C22ABE">
        <w:t xml:space="preserve">before final consideration by the FSANZ Board. Every submission on an application or proposal is considered by the FSANZ Board. All comments are valued and contribute to the rigour of our assessment. </w:t>
      </w:r>
    </w:p>
    <w:p w14:paraId="7856770D" w14:textId="002CB7AD" w:rsidR="00C22ABE" w:rsidRPr="00C22ABE" w:rsidRDefault="00C22ABE" w:rsidP="00424BD1">
      <w:pPr>
        <w:widowControl/>
        <w:spacing w:before="120" w:after="120"/>
        <w:rPr>
          <w:szCs w:val="22"/>
        </w:rPr>
      </w:pPr>
      <w:r w:rsidRPr="00C22ABE">
        <w:rPr>
          <w:szCs w:val="22"/>
        </w:rPr>
        <w:t xml:space="preserve">All </w:t>
      </w:r>
      <w:r w:rsidR="00417F12">
        <w:rPr>
          <w:szCs w:val="22"/>
        </w:rPr>
        <w:t>C</w:t>
      </w:r>
      <w:r w:rsidR="008A2C4A" w:rsidRPr="00826FAB">
        <w:rPr>
          <w:szCs w:val="22"/>
        </w:rPr>
        <w:t>onsultation papers</w:t>
      </w:r>
      <w:r w:rsidR="008A2C4A">
        <w:rPr>
          <w:szCs w:val="22"/>
        </w:rPr>
        <w:t xml:space="preserve"> </w:t>
      </w:r>
      <w:r w:rsidRPr="00C22ABE">
        <w:rPr>
          <w:szCs w:val="22"/>
        </w:rPr>
        <w:t>are notified via the FSANZ Notification Circular, media release</w:t>
      </w:r>
      <w:r w:rsidR="00D1786F">
        <w:rPr>
          <w:szCs w:val="22"/>
        </w:rPr>
        <w:t>,</w:t>
      </w:r>
      <w:r w:rsidRPr="00C22ABE">
        <w:rPr>
          <w:szCs w:val="22"/>
        </w:rPr>
        <w:t xml:space="preserve"> through FSANZ’s social media tools and </w:t>
      </w:r>
      <w:r w:rsidRPr="00C22ABE">
        <w:rPr>
          <w:iCs/>
          <w:szCs w:val="22"/>
        </w:rPr>
        <w:t>Food Standards News</w:t>
      </w:r>
      <w:r w:rsidRPr="00C22ABE">
        <w:rPr>
          <w:szCs w:val="22"/>
        </w:rPr>
        <w:t>. Subscribers and interested parties are also notified about the availability of reports for public comment</w:t>
      </w:r>
      <w:r w:rsidR="00D1786F">
        <w:rPr>
          <w:szCs w:val="22"/>
        </w:rPr>
        <w:t xml:space="preserve"> via email</w:t>
      </w:r>
      <w:r w:rsidRPr="00C22ABE">
        <w:rPr>
          <w:szCs w:val="22"/>
        </w:rPr>
        <w:t>.</w:t>
      </w:r>
    </w:p>
    <w:p w14:paraId="117C1CBD" w14:textId="252DFE8F" w:rsidR="001077BB" w:rsidRPr="00C22ABE" w:rsidRDefault="001077BB" w:rsidP="00424BD1">
      <w:pPr>
        <w:pStyle w:val="Heading3"/>
        <w:widowControl/>
        <w:spacing w:before="120" w:after="120"/>
        <w:rPr>
          <w:color w:val="auto"/>
        </w:rPr>
      </w:pPr>
      <w:bookmarkStart w:id="246" w:name="_Toc425174940"/>
      <w:bookmarkStart w:id="247" w:name="_Toc60825016"/>
      <w:bookmarkStart w:id="248" w:name="_Toc61442320"/>
      <w:bookmarkStart w:id="249" w:name="_Toc61449864"/>
      <w:bookmarkStart w:id="250" w:name="_Toc63342508"/>
      <w:bookmarkStart w:id="251" w:name="_Toc71711647"/>
      <w:bookmarkStart w:id="252" w:name="_Toc72673581"/>
      <w:r w:rsidRPr="00C22ABE">
        <w:rPr>
          <w:color w:val="auto"/>
        </w:rPr>
        <w:t>2.</w:t>
      </w:r>
      <w:r w:rsidR="0093632E">
        <w:rPr>
          <w:color w:val="auto"/>
        </w:rPr>
        <w:t>5.</w:t>
      </w:r>
      <w:r w:rsidRPr="00C22ABE">
        <w:rPr>
          <w:color w:val="auto"/>
        </w:rPr>
        <w:t>2</w:t>
      </w:r>
      <w:r w:rsidRPr="00C22ABE">
        <w:rPr>
          <w:color w:val="auto"/>
        </w:rPr>
        <w:tab/>
        <w:t>World Trade Organization (WTO)</w:t>
      </w:r>
      <w:bookmarkEnd w:id="246"/>
      <w:bookmarkEnd w:id="247"/>
      <w:bookmarkEnd w:id="248"/>
      <w:bookmarkEnd w:id="249"/>
      <w:bookmarkEnd w:id="250"/>
      <w:bookmarkEnd w:id="251"/>
      <w:bookmarkEnd w:id="252"/>
    </w:p>
    <w:p w14:paraId="61672DF0" w14:textId="77777777" w:rsidR="001077BB" w:rsidRPr="00DC6570" w:rsidRDefault="001077BB" w:rsidP="00424BD1">
      <w:pPr>
        <w:widowControl/>
        <w:spacing w:before="120" w:after="120"/>
        <w:rPr>
          <w:rFonts w:cs="Arial"/>
          <w:color w:val="000000"/>
        </w:rPr>
      </w:pPr>
      <w:r w:rsidRPr="00DC6570">
        <w:rPr>
          <w:rFonts w:cs="Arial"/>
          <w:color w:val="000000"/>
        </w:rPr>
        <w:t>As members of the World Trade Organization (WTO), Australia and New Zealand are obliged to notify WTO member</w:t>
      </w:r>
      <w:r>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77949779" w14:textId="4E8F0B70" w:rsidR="001077BB" w:rsidRPr="00E0529E" w:rsidRDefault="0083268A" w:rsidP="00424BD1">
      <w:pPr>
        <w:widowControl/>
        <w:tabs>
          <w:tab w:val="left" w:pos="1560"/>
        </w:tabs>
        <w:spacing w:before="120" w:after="120"/>
        <w:rPr>
          <w:rFonts w:cs="Arial"/>
          <w:iCs/>
        </w:rPr>
      </w:pPr>
      <w:r w:rsidRPr="009E248B">
        <w:rPr>
          <w:rFonts w:cs="Arial"/>
        </w:rPr>
        <w:t>T</w:t>
      </w:r>
      <w:r w:rsidR="001077BB" w:rsidRPr="009E248B">
        <w:rPr>
          <w:rFonts w:cs="Arial"/>
        </w:rPr>
        <w:t>here are no</w:t>
      </w:r>
      <w:r w:rsidR="008A2C4A" w:rsidRPr="009E248B">
        <w:rPr>
          <w:rFonts w:cs="Arial"/>
        </w:rPr>
        <w:t xml:space="preserve"> </w:t>
      </w:r>
      <w:r w:rsidR="00490FE4" w:rsidRPr="009E248B">
        <w:rPr>
          <w:rFonts w:cs="Arial"/>
        </w:rPr>
        <w:t>Codex</w:t>
      </w:r>
      <w:r w:rsidRPr="009E248B">
        <w:rPr>
          <w:rFonts w:cs="Arial"/>
        </w:rPr>
        <w:t>, EU or US commodity</w:t>
      </w:r>
      <w:r w:rsidR="00490FE4" w:rsidRPr="009E248B">
        <w:rPr>
          <w:rFonts w:cs="Arial"/>
        </w:rPr>
        <w:t xml:space="preserve"> </w:t>
      </w:r>
      <w:r w:rsidR="001077BB" w:rsidRPr="009E248B">
        <w:rPr>
          <w:rFonts w:cs="Arial"/>
        </w:rPr>
        <w:t xml:space="preserve">standards </w:t>
      </w:r>
      <w:r w:rsidR="00B83A04" w:rsidRPr="009E248B">
        <w:rPr>
          <w:rFonts w:cs="Arial"/>
        </w:rPr>
        <w:t>for electrolyte drinks</w:t>
      </w:r>
      <w:r w:rsidRPr="009E248B">
        <w:rPr>
          <w:rFonts w:cs="Arial"/>
        </w:rPr>
        <w:t xml:space="preserve">. </w:t>
      </w:r>
      <w:r w:rsidR="00812519" w:rsidRPr="009E248B">
        <w:rPr>
          <w:rFonts w:cs="Arial"/>
        </w:rPr>
        <w:t>Other than</w:t>
      </w:r>
      <w:r w:rsidR="00E7592D" w:rsidRPr="009E248B">
        <w:rPr>
          <w:rFonts w:cs="Arial"/>
        </w:rPr>
        <w:t xml:space="preserve"> scientific opinion guiding health claims on ‘carbohydrate electrolyte solutions’ in the EU and exercise and fluid replacement in the US, </w:t>
      </w:r>
      <w:r w:rsidR="00812519" w:rsidRPr="009E248B">
        <w:rPr>
          <w:rFonts w:cs="Arial"/>
        </w:rPr>
        <w:t xml:space="preserve">there are currently no other relevant national food standards or regulations pertaining to Electrolyte Drinks (see section 1.4 above). </w:t>
      </w:r>
      <w:r w:rsidR="00812519">
        <w:rPr>
          <w:rFonts w:cs="Arial"/>
        </w:rPr>
        <w:t>A</w:t>
      </w:r>
      <w:r w:rsidR="001077BB" w:rsidRPr="00EF1003">
        <w:rPr>
          <w:rFonts w:cs="Arial"/>
        </w:rPr>
        <w:t xml:space="preserve">mending </w:t>
      </w:r>
      <w:r w:rsidR="008A2C4A" w:rsidRPr="00EF1003">
        <w:rPr>
          <w:rFonts w:cs="Arial"/>
        </w:rPr>
        <w:t>the composition an</w:t>
      </w:r>
      <w:r w:rsidR="00EB0C7C" w:rsidRPr="00EF1003">
        <w:rPr>
          <w:rFonts w:cs="Arial"/>
        </w:rPr>
        <w:t>d</w:t>
      </w:r>
      <w:r w:rsidR="008A2C4A" w:rsidRPr="00EF1003">
        <w:rPr>
          <w:rFonts w:cs="Arial"/>
        </w:rPr>
        <w:t xml:space="preserve"> labelli</w:t>
      </w:r>
      <w:r w:rsidR="008A2C4A">
        <w:rPr>
          <w:rFonts w:cs="Arial"/>
        </w:rPr>
        <w:t>ng of</w:t>
      </w:r>
      <w:r w:rsidR="00F30226">
        <w:rPr>
          <w:rFonts w:cs="Arial"/>
        </w:rPr>
        <w:t xml:space="preserve"> electrolyte drinks </w:t>
      </w:r>
      <w:r w:rsidR="00211ECE">
        <w:rPr>
          <w:rFonts w:cs="Arial"/>
        </w:rPr>
        <w:t xml:space="preserve">in the Code </w:t>
      </w:r>
      <w:r w:rsidR="001077BB" w:rsidRPr="00DC6570">
        <w:rPr>
          <w:rFonts w:cs="Arial"/>
        </w:rPr>
        <w:t xml:space="preserve">is unlikely to have a significant </w:t>
      </w:r>
      <w:r w:rsidR="001077BB">
        <w:rPr>
          <w:rFonts w:cs="Arial"/>
        </w:rPr>
        <w:t xml:space="preserve">effect on international </w:t>
      </w:r>
      <w:r w:rsidR="001077BB" w:rsidRPr="00EF1003">
        <w:rPr>
          <w:rFonts w:cs="Arial"/>
        </w:rPr>
        <w:t>trade.</w:t>
      </w:r>
      <w:r w:rsidR="001077BB">
        <w:rPr>
          <w:rFonts w:cs="Arial"/>
        </w:rPr>
        <w:t xml:space="preserve"> </w:t>
      </w:r>
      <w:r w:rsidR="001077BB" w:rsidRPr="0024582E">
        <w:rPr>
          <w:rFonts w:cs="Arial"/>
          <w:iCs/>
        </w:rPr>
        <w:t xml:space="preserve">Therefore, </w:t>
      </w:r>
      <w:r w:rsidR="001077BB">
        <w:rPr>
          <w:rFonts w:cs="Arial"/>
          <w:iCs/>
        </w:rPr>
        <w:t xml:space="preserve">a </w:t>
      </w:r>
      <w:r w:rsidR="001077BB" w:rsidRPr="0024582E">
        <w:rPr>
          <w:rFonts w:cs="Arial"/>
          <w:iCs/>
        </w:rPr>
        <w:t xml:space="preserve">notification to the WTO under </w:t>
      </w:r>
      <w:r w:rsidR="001077BB" w:rsidRPr="00E0529E">
        <w:rPr>
          <w:rFonts w:cs="Arial"/>
        </w:rPr>
        <w:t>Australia’s and New Zealand’s</w:t>
      </w:r>
      <w:r w:rsidR="001077BB" w:rsidRPr="00E0529E">
        <w:rPr>
          <w:rFonts w:cs="Arial"/>
          <w:iCs/>
        </w:rPr>
        <w:t xml:space="preserve"> obligations under the WTO Technical Barriers to Trade Agreement </w:t>
      </w:r>
      <w:r w:rsidR="00B95D66">
        <w:rPr>
          <w:rFonts w:cs="Arial"/>
          <w:iCs/>
        </w:rPr>
        <w:t>is</w:t>
      </w:r>
      <w:r w:rsidR="001077BB" w:rsidRPr="00E0529E">
        <w:rPr>
          <w:rFonts w:cs="Arial"/>
          <w:iCs/>
        </w:rPr>
        <w:t xml:space="preserve"> not considered necessary.</w:t>
      </w:r>
      <w:r w:rsidR="00D36C72">
        <w:rPr>
          <w:rFonts w:cs="Arial"/>
          <w:iCs/>
        </w:rPr>
        <w:t xml:space="preserve"> </w:t>
      </w:r>
    </w:p>
    <w:p w14:paraId="7FC86DB0" w14:textId="6DF565BF" w:rsidR="001077BB" w:rsidRDefault="001077BB" w:rsidP="00303F27">
      <w:pPr>
        <w:pStyle w:val="Heading2"/>
      </w:pPr>
      <w:bookmarkStart w:id="253" w:name="_Toc425174941"/>
      <w:bookmarkStart w:id="254" w:name="_Toc60825017"/>
      <w:bookmarkStart w:id="255" w:name="_Toc61442321"/>
      <w:bookmarkStart w:id="256" w:name="_Toc61449865"/>
      <w:bookmarkStart w:id="257" w:name="_Toc63342509"/>
      <w:bookmarkStart w:id="258" w:name="_Toc71711648"/>
      <w:bookmarkStart w:id="259" w:name="_Toc72673582"/>
      <w:r>
        <w:t>2.</w:t>
      </w:r>
      <w:r w:rsidR="0093632E">
        <w:t>6</w:t>
      </w:r>
      <w:r>
        <w:tab/>
        <w:t>FSANZ Act assessment requirements</w:t>
      </w:r>
      <w:bookmarkEnd w:id="253"/>
      <w:bookmarkEnd w:id="254"/>
      <w:bookmarkEnd w:id="255"/>
      <w:bookmarkEnd w:id="256"/>
      <w:bookmarkEnd w:id="257"/>
      <w:bookmarkEnd w:id="258"/>
      <w:bookmarkEnd w:id="259"/>
    </w:p>
    <w:p w14:paraId="4724F924" w14:textId="60B6AC3E" w:rsidR="001077BB" w:rsidRPr="00211EEF" w:rsidRDefault="002B14B7" w:rsidP="00424BD1">
      <w:pPr>
        <w:widowControl/>
        <w:spacing w:before="120" w:after="120"/>
        <w:rPr>
          <w:b/>
          <w:bCs/>
          <w:color w:val="000000" w:themeColor="text1"/>
          <w:lang w:eastAsia="en-AU" w:bidi="ar-SA"/>
        </w:rPr>
      </w:pPr>
      <w:r w:rsidRPr="00FC7B1D">
        <w:t xml:space="preserve">As explained in the 2014 CFS, FSANZ had regard to the matters listed in section 59 of the </w:t>
      </w:r>
      <w:r w:rsidRPr="00951A67">
        <w:t xml:space="preserve">FSANZ Act when assessing the </w:t>
      </w:r>
      <w:r w:rsidR="0064746C">
        <w:t>p</w:t>
      </w:r>
      <w:r w:rsidRPr="00951A67">
        <w:t xml:space="preserve">roposal and then deciding to develop the draft variation that was the subject of that CFS. </w:t>
      </w:r>
      <w:r w:rsidRPr="00951A67">
        <w:rPr>
          <w:rFonts w:cs="Arial"/>
          <w:szCs w:val="22"/>
        </w:rPr>
        <w:t>FSANZ is now requir</w:t>
      </w:r>
      <w:r w:rsidRPr="00AD5B1B">
        <w:rPr>
          <w:rFonts w:cs="Arial"/>
          <w:szCs w:val="22"/>
        </w:rPr>
        <w:t xml:space="preserve">ed to decide whether to approve, amend or reject the draft variation that it prepared in 2014. </w:t>
      </w:r>
      <w:r w:rsidRPr="00211EEF">
        <w:rPr>
          <w:rFonts w:cs="Arial"/>
          <w:szCs w:val="22"/>
          <w:lang w:val="en-US"/>
        </w:rPr>
        <w:t xml:space="preserve">The matters listed in </w:t>
      </w:r>
      <w:r w:rsidRPr="00211EEF">
        <w:rPr>
          <w:lang w:val="en-NZ"/>
        </w:rPr>
        <w:t xml:space="preserve">sections 18 and 59 of </w:t>
      </w:r>
      <w:r w:rsidRPr="00211EEF">
        <w:rPr>
          <w:rFonts w:cs="Arial"/>
          <w:szCs w:val="22"/>
          <w:lang w:val="en-US"/>
        </w:rPr>
        <w:t xml:space="preserve">the FSANZ Act remain relevant to </w:t>
      </w:r>
      <w:r w:rsidRPr="00211EEF">
        <w:rPr>
          <w:rFonts w:cs="Arial"/>
          <w:szCs w:val="22"/>
          <w:lang w:val="en-US"/>
        </w:rPr>
        <w:lastRenderedPageBreak/>
        <w:t>that decision.</w:t>
      </w:r>
      <w:r w:rsidR="001077BB" w:rsidRPr="00951A67">
        <w:t xml:space="preserve"> </w:t>
      </w:r>
      <w:r w:rsidR="00FC7B1D">
        <w:t xml:space="preserve">After having regard to these matters, FSANZ’s preliminary view is that the draft variation should be amended in the manner described in this paper. See also the example </w:t>
      </w:r>
      <w:r w:rsidR="004F407D">
        <w:rPr>
          <w:rFonts w:cs="Arial"/>
        </w:rPr>
        <w:t xml:space="preserve">amended draft variation </w:t>
      </w:r>
      <w:r w:rsidR="00FC7B1D">
        <w:t>provided at Attachment A.</w:t>
      </w:r>
      <w:r w:rsidR="00FC7B1D" w:rsidRPr="00FC7B1D" w:rsidDel="002B14B7">
        <w:rPr>
          <w:b/>
          <w:bCs/>
          <w:color w:val="000000" w:themeColor="text1"/>
          <w:lang w:eastAsia="en-AU" w:bidi="ar-SA"/>
        </w:rPr>
        <w:t xml:space="preserve"> </w:t>
      </w:r>
    </w:p>
    <w:p w14:paraId="7076ABD2" w14:textId="3260B653" w:rsidR="001077BB" w:rsidRPr="00914030" w:rsidRDefault="001077BB" w:rsidP="00424BD1">
      <w:pPr>
        <w:pStyle w:val="Heading3"/>
        <w:widowControl/>
        <w:spacing w:before="120" w:after="120"/>
      </w:pPr>
      <w:bookmarkStart w:id="260" w:name="_Toc425174942"/>
      <w:bookmarkStart w:id="261" w:name="_Toc60825018"/>
      <w:bookmarkStart w:id="262" w:name="_Toc61442322"/>
      <w:bookmarkStart w:id="263" w:name="_Toc61449866"/>
      <w:bookmarkStart w:id="264" w:name="_Toc63342510"/>
      <w:bookmarkStart w:id="265" w:name="_Toc71711649"/>
      <w:bookmarkStart w:id="266" w:name="_Toc72673583"/>
      <w:r>
        <w:t>2.</w:t>
      </w:r>
      <w:r w:rsidR="0093632E">
        <w:t>6</w:t>
      </w:r>
      <w:r>
        <w:t>.1</w:t>
      </w:r>
      <w:r>
        <w:tab/>
        <w:t xml:space="preserve">Section </w:t>
      </w:r>
      <w:r w:rsidRPr="00B21DA4">
        <w:rPr>
          <w:rFonts w:cs="Arial"/>
        </w:rPr>
        <w:t>59</w:t>
      </w:r>
      <w:bookmarkEnd w:id="260"/>
      <w:bookmarkEnd w:id="261"/>
      <w:bookmarkEnd w:id="262"/>
      <w:bookmarkEnd w:id="263"/>
      <w:bookmarkEnd w:id="264"/>
      <w:bookmarkEnd w:id="265"/>
      <w:bookmarkEnd w:id="266"/>
      <w:r w:rsidR="00D87E9C" w:rsidRPr="00B21DA4">
        <w:rPr>
          <w:rFonts w:cs="Arial"/>
          <w:bCs w:val="0"/>
        </w:rPr>
        <w:t xml:space="preserve"> </w:t>
      </w:r>
    </w:p>
    <w:p w14:paraId="13AA9E03" w14:textId="1D1C1496" w:rsidR="001077BB" w:rsidRDefault="001077BB" w:rsidP="00424BD1">
      <w:pPr>
        <w:pStyle w:val="Heading4"/>
        <w:widowControl/>
        <w:spacing w:before="120" w:after="120"/>
      </w:pPr>
      <w:r>
        <w:t>2.</w:t>
      </w:r>
      <w:r w:rsidR="0093632E">
        <w:t>6.</w:t>
      </w:r>
      <w:r>
        <w:t>1.1</w:t>
      </w:r>
      <w:r>
        <w:tab/>
      </w:r>
      <w:r w:rsidR="00C11B68">
        <w:t>C</w:t>
      </w:r>
      <w:r>
        <w:rPr>
          <w:lang w:val="en-AU"/>
        </w:rPr>
        <w:t>osts and benefits</w:t>
      </w:r>
      <w:r w:rsidR="00C11B68">
        <w:rPr>
          <w:lang w:val="en-AU"/>
        </w:rPr>
        <w:t xml:space="preserve"> considerations</w:t>
      </w:r>
    </w:p>
    <w:p w14:paraId="3718C272" w14:textId="5AFAA59B" w:rsidR="00B95D66" w:rsidRDefault="00B95D66" w:rsidP="00424BD1">
      <w:pPr>
        <w:widowControl/>
        <w:spacing w:before="120" w:after="120"/>
      </w:pPr>
      <w:r>
        <w:t xml:space="preserve">Information on the market value and volume of sports drinks is given in </w:t>
      </w:r>
      <w:r w:rsidR="007C6E69">
        <w:t xml:space="preserve">Section </w:t>
      </w:r>
      <w:r>
        <w:t>1.</w:t>
      </w:r>
      <w:r w:rsidR="00C053B1">
        <w:t>6</w:t>
      </w:r>
      <w:r w:rsidR="007C6E69">
        <w:t xml:space="preserve"> of this </w:t>
      </w:r>
      <w:r w:rsidR="00417F12">
        <w:t>C</w:t>
      </w:r>
      <w:r w:rsidR="007C6E69">
        <w:t>onsultation paper</w:t>
      </w:r>
      <w:r>
        <w:t xml:space="preserve">. </w:t>
      </w:r>
    </w:p>
    <w:p w14:paraId="0A525A76" w14:textId="5CB01867" w:rsidR="00482DC3" w:rsidRPr="00D74448" w:rsidRDefault="001077BB" w:rsidP="00424BD1">
      <w:pPr>
        <w:widowControl/>
        <w:spacing w:before="120" w:after="120"/>
      </w:pPr>
      <w:r>
        <w:t xml:space="preserve">The direct and indirect benefits </w:t>
      </w:r>
      <w:r w:rsidRPr="00914030">
        <w:t>that would arise from a food regulatory measure develop</w:t>
      </w:r>
      <w:r w:rsidR="00D87E9C">
        <w:t>ed or varied as a result of th</w:t>
      </w:r>
      <w:r w:rsidR="00C11B68">
        <w:t xml:space="preserve">e </w:t>
      </w:r>
      <w:r w:rsidR="0064746C">
        <w:t>p</w:t>
      </w:r>
      <w:r w:rsidR="0055318B">
        <w:t>roposal</w:t>
      </w:r>
      <w:r w:rsidR="007570CD">
        <w:t>, as amended,</w:t>
      </w:r>
      <w:r w:rsidR="00917FFC">
        <w:t xml:space="preserve"> </w:t>
      </w:r>
      <w:r w:rsidRPr="00914030">
        <w:t xml:space="preserve">outweigh the </w:t>
      </w:r>
      <w:r>
        <w:t>costs</w:t>
      </w:r>
      <w:r w:rsidR="00C11B68">
        <w:t xml:space="preserve"> to the community, g</w:t>
      </w:r>
      <w:r w:rsidRPr="00914030">
        <w:t xml:space="preserve">overnment </w:t>
      </w:r>
      <w:r w:rsidR="00C11B68">
        <w:t>and</w:t>
      </w:r>
      <w:r w:rsidRPr="00914030">
        <w:t xml:space="preserve"> industry that would arise from the development or variation</w:t>
      </w:r>
      <w:r>
        <w:t xml:space="preserve"> of the food regulatory measure.</w:t>
      </w:r>
    </w:p>
    <w:p w14:paraId="03297866" w14:textId="7F918973" w:rsidR="00482DC3" w:rsidRPr="00DD0E63" w:rsidRDefault="00124AE4" w:rsidP="00424BD1">
      <w:pPr>
        <w:widowControl/>
        <w:spacing w:before="120" w:after="120"/>
        <w:rPr>
          <w:rFonts w:cs="Arial"/>
        </w:rPr>
      </w:pPr>
      <w:r w:rsidRPr="00B21DA4">
        <w:rPr>
          <w:rFonts w:cs="Arial"/>
        </w:rPr>
        <w:t xml:space="preserve">The Office of Best Practice Regulation (OBPR) </w:t>
      </w:r>
      <w:r>
        <w:rPr>
          <w:rFonts w:cs="Arial"/>
        </w:rPr>
        <w:t xml:space="preserve">had previously </w:t>
      </w:r>
      <w:r w:rsidRPr="00B21DA4">
        <w:rPr>
          <w:rFonts w:cs="Arial"/>
        </w:rPr>
        <w:t>exempted FSANZ from the need to undertake a formal Regulation Impact Statement (RIS) in relation to the regulatory change</w:t>
      </w:r>
      <w:r>
        <w:rPr>
          <w:rFonts w:cs="Arial"/>
        </w:rPr>
        <w:t>s</w:t>
      </w:r>
      <w:r w:rsidRPr="00B21DA4">
        <w:rPr>
          <w:rFonts w:cs="Arial"/>
        </w:rPr>
        <w:t xml:space="preserve"> proposed in response to </w:t>
      </w:r>
      <w:r w:rsidR="00C54335">
        <w:rPr>
          <w:rFonts w:cs="Arial"/>
        </w:rPr>
        <w:t>the original</w:t>
      </w:r>
      <w:r w:rsidRPr="00B21DA4">
        <w:rPr>
          <w:rFonts w:cs="Arial"/>
        </w:rPr>
        <w:t xml:space="preserve"> </w:t>
      </w:r>
      <w:r w:rsidR="0064746C">
        <w:rPr>
          <w:rFonts w:cs="Arial"/>
        </w:rPr>
        <w:t>p</w:t>
      </w:r>
      <w:r w:rsidRPr="00B21DA4">
        <w:rPr>
          <w:rFonts w:cs="Arial"/>
        </w:rPr>
        <w:t>roposal (</w:t>
      </w:r>
      <w:r>
        <w:rPr>
          <w:rFonts w:cs="Arial"/>
        </w:rPr>
        <w:t>ID: 16662). Given the significant change in direction of the</w:t>
      </w:r>
      <w:r w:rsidR="0064746C">
        <w:rPr>
          <w:rFonts w:cs="Arial"/>
        </w:rPr>
        <w:t xml:space="preserve"> p</w:t>
      </w:r>
      <w:r w:rsidR="00917FFC">
        <w:rPr>
          <w:rFonts w:cs="Arial"/>
        </w:rPr>
        <w:t>roposal</w:t>
      </w:r>
      <w:r>
        <w:rPr>
          <w:rFonts w:cs="Arial"/>
        </w:rPr>
        <w:t xml:space="preserve">, FSANZ </w:t>
      </w:r>
      <w:r w:rsidR="00FD196A">
        <w:rPr>
          <w:rFonts w:cs="Arial"/>
        </w:rPr>
        <w:t>sought further advice from</w:t>
      </w:r>
      <w:r>
        <w:rPr>
          <w:rFonts w:cs="Arial"/>
        </w:rPr>
        <w:t xml:space="preserve"> </w:t>
      </w:r>
      <w:r w:rsidR="00FD196A">
        <w:rPr>
          <w:rFonts w:cs="Arial"/>
        </w:rPr>
        <w:t>t</w:t>
      </w:r>
      <w:r w:rsidR="00482DC3" w:rsidRPr="00DD0E63">
        <w:rPr>
          <w:rFonts w:cs="Arial"/>
        </w:rPr>
        <w:t>he OPBR</w:t>
      </w:r>
      <w:r w:rsidR="00FD196A">
        <w:rPr>
          <w:rFonts w:cs="Arial"/>
        </w:rPr>
        <w:t>,</w:t>
      </w:r>
      <w:r w:rsidR="00482DC3" w:rsidRPr="00DD0E63">
        <w:rPr>
          <w:rFonts w:cs="Arial"/>
        </w:rPr>
        <w:t xml:space="preserve"> </w:t>
      </w:r>
      <w:r w:rsidR="00FD196A">
        <w:rPr>
          <w:rFonts w:cs="Arial"/>
        </w:rPr>
        <w:t xml:space="preserve">who subsequently confirmed they are </w:t>
      </w:r>
      <w:r w:rsidR="00482DC3" w:rsidRPr="00DD0E63">
        <w:rPr>
          <w:rFonts w:cs="Arial"/>
        </w:rPr>
        <w:t xml:space="preserve">satisfied that the </w:t>
      </w:r>
      <w:r w:rsidR="00344CE6">
        <w:rPr>
          <w:rFonts w:cs="Arial"/>
        </w:rPr>
        <w:t>currently proposed</w:t>
      </w:r>
      <w:r w:rsidR="00482DC3" w:rsidRPr="00DD0E63">
        <w:rPr>
          <w:rFonts w:cs="Arial"/>
        </w:rPr>
        <w:t xml:space="preserve"> variation is deregulatory and is likely to only have a minor effect on consumers, businesses, and government</w:t>
      </w:r>
      <w:r w:rsidR="00FD196A">
        <w:rPr>
          <w:rFonts w:cs="Arial"/>
        </w:rPr>
        <w:t xml:space="preserve"> (ID:</w:t>
      </w:r>
      <w:r w:rsidR="00FD196A" w:rsidRPr="00FD196A">
        <w:rPr>
          <w:rFonts w:cs="Arial"/>
        </w:rPr>
        <w:t xml:space="preserve"> </w:t>
      </w:r>
      <w:r w:rsidR="00FD196A">
        <w:rPr>
          <w:rFonts w:cs="Arial"/>
        </w:rPr>
        <w:t>43269)</w:t>
      </w:r>
      <w:r w:rsidR="00482DC3" w:rsidRPr="00DD0E63">
        <w:rPr>
          <w:rFonts w:cs="Arial"/>
        </w:rPr>
        <w:t xml:space="preserve">. </w:t>
      </w:r>
    </w:p>
    <w:p w14:paraId="64C9BE33" w14:textId="4495CC24" w:rsidR="007E4F7B" w:rsidRPr="00694AC8" w:rsidRDefault="00482DC3" w:rsidP="00424BD1">
      <w:pPr>
        <w:widowControl/>
        <w:spacing w:before="120" w:after="120"/>
      </w:pPr>
      <w:r w:rsidRPr="00B21DA4">
        <w:rPr>
          <w:rFonts w:cs="Arial"/>
        </w:rPr>
        <w:t xml:space="preserve">FSANZ, however, has given consideration to the </w:t>
      </w:r>
      <w:r>
        <w:rPr>
          <w:rFonts w:cs="Arial"/>
        </w:rPr>
        <w:t xml:space="preserve">potential </w:t>
      </w:r>
      <w:r w:rsidRPr="00B21DA4">
        <w:rPr>
          <w:rFonts w:cs="Arial"/>
        </w:rPr>
        <w:t>costs and benefits that may arise from the proposed measure</w:t>
      </w:r>
      <w:r>
        <w:rPr>
          <w:rFonts w:cs="Arial"/>
        </w:rPr>
        <w:t>s</w:t>
      </w:r>
      <w:r w:rsidRPr="00B21DA4">
        <w:rPr>
          <w:rFonts w:cs="Arial"/>
        </w:rPr>
        <w:t xml:space="preserve"> </w:t>
      </w:r>
      <w:r w:rsidR="000830C5">
        <w:rPr>
          <w:rFonts w:cs="Arial"/>
        </w:rPr>
        <w:t xml:space="preserve">in the </w:t>
      </w:r>
      <w:r w:rsidR="00291E86">
        <w:rPr>
          <w:rFonts w:cs="Arial"/>
        </w:rPr>
        <w:t xml:space="preserve">example </w:t>
      </w:r>
      <w:r w:rsidR="000830C5">
        <w:rPr>
          <w:rFonts w:cs="Arial"/>
        </w:rPr>
        <w:t xml:space="preserve">amended draft variation </w:t>
      </w:r>
      <w:r w:rsidRPr="00B21DA4">
        <w:rPr>
          <w:rFonts w:cs="Arial"/>
        </w:rPr>
        <w:t xml:space="preserve">for the purposes of meeting FSANZ Act considerations. The FSANZ Act requires FSANZ to have regard to whether costs that would arise from the proposed measure outweigh the direct and indirect benefits to the community, government or industry that would arise from the proposed </w:t>
      </w:r>
      <w:r w:rsidRPr="00D04815">
        <w:rPr>
          <w:rFonts w:cs="Arial"/>
        </w:rPr>
        <w:t xml:space="preserve">measure </w:t>
      </w:r>
      <w:r w:rsidR="00344CE6">
        <w:rPr>
          <w:rFonts w:cs="Arial"/>
        </w:rPr>
        <w:t>(</w:t>
      </w:r>
      <w:r w:rsidR="000830C5">
        <w:rPr>
          <w:rFonts w:cs="Arial"/>
        </w:rPr>
        <w:t xml:space="preserve">paragraph </w:t>
      </w:r>
      <w:r w:rsidRPr="00D04815">
        <w:rPr>
          <w:rFonts w:cs="Arial"/>
        </w:rPr>
        <w:t>59 (2)(a)</w:t>
      </w:r>
      <w:r w:rsidR="00344CE6">
        <w:rPr>
          <w:rFonts w:cs="Arial"/>
        </w:rPr>
        <w:t>)</w:t>
      </w:r>
      <w:r w:rsidRPr="00D04815">
        <w:rPr>
          <w:rFonts w:cs="Arial"/>
        </w:rPr>
        <w:t xml:space="preserve">. </w:t>
      </w:r>
      <w:r w:rsidRPr="00B21DA4">
        <w:rPr>
          <w:rFonts w:cs="Arial"/>
        </w:rPr>
        <w:t xml:space="preserve">The purpose of this consideration is to determine if the community, industry </w:t>
      </w:r>
      <w:r>
        <w:rPr>
          <w:rFonts w:cs="Arial"/>
        </w:rPr>
        <w:t xml:space="preserve">and government </w:t>
      </w:r>
      <w:r w:rsidRPr="00B21DA4">
        <w:rPr>
          <w:rFonts w:cs="Arial"/>
        </w:rPr>
        <w:t xml:space="preserve">as a whole is likely to benefit, on balance, from </w:t>
      </w:r>
      <w:r>
        <w:rPr>
          <w:rFonts w:cs="Arial"/>
        </w:rPr>
        <w:t xml:space="preserve">a change to the </w:t>
      </w:r>
      <w:r w:rsidRPr="00B21DA4">
        <w:rPr>
          <w:rFonts w:cs="Arial"/>
        </w:rPr>
        <w:t xml:space="preserve">status quo. This analysis considers </w:t>
      </w:r>
      <w:r w:rsidRPr="00D04815">
        <w:rPr>
          <w:rFonts w:cs="Arial"/>
        </w:rPr>
        <w:t>amending the current</w:t>
      </w:r>
      <w:r w:rsidR="00F30226">
        <w:rPr>
          <w:rFonts w:cs="Arial"/>
        </w:rPr>
        <w:t xml:space="preserve"> electrolyte drink </w:t>
      </w:r>
      <w:r w:rsidRPr="00D04815">
        <w:rPr>
          <w:rFonts w:cs="Arial"/>
        </w:rPr>
        <w:t>regulations</w:t>
      </w:r>
      <w:r>
        <w:rPr>
          <w:rFonts w:cs="Arial"/>
        </w:rPr>
        <w:t xml:space="preserve"> in Standard 2.6.2</w:t>
      </w:r>
      <w:r w:rsidRPr="00D04815">
        <w:rPr>
          <w:rFonts w:cs="Arial"/>
        </w:rPr>
        <w:t>. FSANZ is of the view that no other realistic food regulatory measures exist</w:t>
      </w:r>
      <w:r>
        <w:rPr>
          <w:rFonts w:cs="Arial"/>
        </w:rPr>
        <w:t xml:space="preserve"> at this point in time</w:t>
      </w:r>
      <w:r w:rsidRPr="00D04815">
        <w:rPr>
          <w:rFonts w:cs="Arial"/>
        </w:rPr>
        <w:t xml:space="preserve">, however information </w:t>
      </w:r>
      <w:r w:rsidRPr="00B21DA4">
        <w:rPr>
          <w:rFonts w:cs="Arial"/>
        </w:rPr>
        <w:t>received may result in FSANZ arriving at a different outcome</w:t>
      </w:r>
      <w:r w:rsidR="00D03DA9">
        <w:t>.</w:t>
      </w:r>
      <w:r w:rsidR="007E4F7B">
        <w:t xml:space="preserve"> </w:t>
      </w:r>
      <w:r w:rsidR="00D03DA9">
        <w:t>T</w:t>
      </w:r>
      <w:r w:rsidR="007E4F7B" w:rsidRPr="00694AC8">
        <w:t xml:space="preserve">he </w:t>
      </w:r>
      <w:r w:rsidR="00D03DA9">
        <w:t xml:space="preserve">classification of electrolyte drinks and the transfer </w:t>
      </w:r>
      <w:r w:rsidR="007E4F7B" w:rsidRPr="00694AC8">
        <w:t>of</w:t>
      </w:r>
      <w:r w:rsidR="00F30226">
        <w:t xml:space="preserve"> </w:t>
      </w:r>
      <w:r w:rsidR="00D03DA9">
        <w:t xml:space="preserve">these provisions within the Code </w:t>
      </w:r>
      <w:r w:rsidR="005D1F04">
        <w:t>may be</w:t>
      </w:r>
      <w:r w:rsidR="005D1F04" w:rsidRPr="00694AC8">
        <w:t xml:space="preserve"> </w:t>
      </w:r>
      <w:r w:rsidR="005D1F04">
        <w:t xml:space="preserve">further </w:t>
      </w:r>
      <w:r w:rsidR="007E4F7B" w:rsidRPr="00694AC8">
        <w:t>consider</w:t>
      </w:r>
      <w:r w:rsidR="005D1F04">
        <w:t>ed under</w:t>
      </w:r>
      <w:r w:rsidR="007E4F7B" w:rsidRPr="00694AC8">
        <w:t xml:space="preserve"> P1010.</w:t>
      </w:r>
    </w:p>
    <w:p w14:paraId="2736FD57" w14:textId="41C550A7" w:rsidR="00482DC3" w:rsidRPr="00B21DA4" w:rsidRDefault="00482DC3" w:rsidP="00424BD1">
      <w:pPr>
        <w:widowControl/>
        <w:spacing w:before="120" w:after="120"/>
        <w:rPr>
          <w:rFonts w:cs="Arial"/>
        </w:rPr>
      </w:pPr>
      <w:r w:rsidRPr="00B21DA4">
        <w:rPr>
          <w:rFonts w:cs="Arial"/>
        </w:rPr>
        <w:t xml:space="preserve">The consideration of the costs and benefits in this section </w:t>
      </w:r>
      <w:r w:rsidR="007C6E69">
        <w:t xml:space="preserve">of this </w:t>
      </w:r>
      <w:r w:rsidR="00417F12">
        <w:t>C</w:t>
      </w:r>
      <w:r w:rsidR="007C6E69">
        <w:t>onsultation paper</w:t>
      </w:r>
      <w:r w:rsidR="007C6E69" w:rsidRPr="00B21DA4">
        <w:rPr>
          <w:rFonts w:cs="Arial"/>
        </w:rPr>
        <w:t xml:space="preserve"> </w:t>
      </w:r>
      <w:r w:rsidRPr="00B21DA4">
        <w:rPr>
          <w:rFonts w:cs="Arial"/>
        </w:rPr>
        <w:t xml:space="preserve">is not intended to be an exhaustive, quantitative economic analysis of the proposed </w:t>
      </w:r>
      <w:r>
        <w:rPr>
          <w:rFonts w:cs="Arial"/>
        </w:rPr>
        <w:t>amendments</w:t>
      </w:r>
      <w:r w:rsidRPr="00B21DA4">
        <w:rPr>
          <w:rFonts w:cs="Arial"/>
        </w:rPr>
        <w:t xml:space="preserve"> and, in fact, most of the effects that were considered cannot easily be assigned a dollar value. Rather, the assessment seeks to highlight the likely positives and negatives of </w:t>
      </w:r>
      <w:r>
        <w:rPr>
          <w:rFonts w:cs="Arial"/>
        </w:rPr>
        <w:t>amending the current</w:t>
      </w:r>
      <w:r w:rsidR="00F30226">
        <w:rPr>
          <w:rFonts w:cs="Arial"/>
        </w:rPr>
        <w:t xml:space="preserve"> electrolyte drink </w:t>
      </w:r>
      <w:r>
        <w:rPr>
          <w:rFonts w:cs="Arial"/>
        </w:rPr>
        <w:t>regulations.</w:t>
      </w:r>
    </w:p>
    <w:p w14:paraId="6C253D06" w14:textId="76962952" w:rsidR="00482DC3" w:rsidRPr="004401A0" w:rsidRDefault="00482DC3" w:rsidP="00424BD1">
      <w:pPr>
        <w:widowControl/>
        <w:spacing w:before="120" w:after="120"/>
        <w:rPr>
          <w:rFonts w:cs="Arial"/>
        </w:rPr>
      </w:pPr>
      <w:r>
        <w:rPr>
          <w:rFonts w:cs="Arial"/>
          <w:b/>
        </w:rPr>
        <w:t>Consumers:</w:t>
      </w:r>
      <w:r w:rsidRPr="007F0E79">
        <w:rPr>
          <w:rFonts w:cs="Arial"/>
          <w:color w:val="F01482"/>
        </w:rPr>
        <w:t xml:space="preserve"> </w:t>
      </w:r>
      <w:r w:rsidRPr="00482DC3">
        <w:rPr>
          <w:rFonts w:cs="Arial"/>
          <w:lang w:eastAsia="en-AU"/>
        </w:rPr>
        <w:t xml:space="preserve">FSANZ considers the </w:t>
      </w:r>
      <w:r w:rsidR="008B4CF6">
        <w:rPr>
          <w:rFonts w:cs="Arial"/>
          <w:lang w:eastAsia="en-AU"/>
        </w:rPr>
        <w:t>revised</w:t>
      </w:r>
      <w:r w:rsidR="008F561C">
        <w:rPr>
          <w:rFonts w:cs="Arial"/>
          <w:lang w:eastAsia="en-AU"/>
        </w:rPr>
        <w:t xml:space="preserve"> labelling requirements </w:t>
      </w:r>
      <w:r w:rsidR="00181CBE">
        <w:rPr>
          <w:rFonts w:cs="Arial"/>
          <w:lang w:eastAsia="en-AU"/>
        </w:rPr>
        <w:t>would</w:t>
      </w:r>
      <w:r w:rsidR="00181CBE" w:rsidRPr="00482DC3">
        <w:rPr>
          <w:rFonts w:cs="Arial"/>
          <w:lang w:eastAsia="en-AU"/>
        </w:rPr>
        <w:t xml:space="preserve"> </w:t>
      </w:r>
      <w:r w:rsidRPr="00482DC3">
        <w:rPr>
          <w:rFonts w:cs="Arial"/>
          <w:lang w:eastAsia="en-AU"/>
        </w:rPr>
        <w:t xml:space="preserve">provide consumers with </w:t>
      </w:r>
      <w:r w:rsidR="00FD196A">
        <w:rPr>
          <w:rFonts w:cs="Arial"/>
          <w:lang w:eastAsia="en-AU"/>
        </w:rPr>
        <w:t>better</w:t>
      </w:r>
      <w:r w:rsidR="008F561C">
        <w:rPr>
          <w:rFonts w:cs="Arial"/>
          <w:lang w:eastAsia="en-AU"/>
        </w:rPr>
        <w:t xml:space="preserve"> information to facilitate informed decision</w:t>
      </w:r>
      <w:r w:rsidR="009A3861">
        <w:rPr>
          <w:rFonts w:cs="Arial"/>
          <w:lang w:eastAsia="en-AU"/>
        </w:rPr>
        <w:t xml:space="preserve"> </w:t>
      </w:r>
      <w:r w:rsidR="008F561C">
        <w:rPr>
          <w:rFonts w:cs="Arial"/>
          <w:lang w:eastAsia="en-AU"/>
        </w:rPr>
        <w:t xml:space="preserve">making together with </w:t>
      </w:r>
      <w:r w:rsidR="00780A17">
        <w:rPr>
          <w:rFonts w:cs="Arial"/>
          <w:lang w:eastAsia="en-AU"/>
        </w:rPr>
        <w:t>wider</w:t>
      </w:r>
      <w:r w:rsidR="008F561C">
        <w:rPr>
          <w:rFonts w:cs="Arial"/>
          <w:lang w:eastAsia="en-AU"/>
        </w:rPr>
        <w:t xml:space="preserve"> choice</w:t>
      </w:r>
      <w:r w:rsidR="008A592C">
        <w:rPr>
          <w:rFonts w:cs="Arial"/>
          <w:lang w:eastAsia="en-AU"/>
        </w:rPr>
        <w:t xml:space="preserve"> </w:t>
      </w:r>
      <w:r w:rsidR="006A381D">
        <w:rPr>
          <w:rFonts w:cs="Arial"/>
          <w:lang w:eastAsia="en-AU"/>
        </w:rPr>
        <w:t xml:space="preserve">(i.e. more healthier options) </w:t>
      </w:r>
      <w:r w:rsidR="008A592C">
        <w:rPr>
          <w:rFonts w:cs="Arial"/>
          <w:lang w:eastAsia="en-AU"/>
        </w:rPr>
        <w:t>within the</w:t>
      </w:r>
      <w:r w:rsidR="00F30226">
        <w:rPr>
          <w:rFonts w:cs="Arial"/>
          <w:lang w:eastAsia="en-AU"/>
        </w:rPr>
        <w:t xml:space="preserve"> electrolyte drink </w:t>
      </w:r>
      <w:r w:rsidR="008A592C">
        <w:rPr>
          <w:rFonts w:cs="Arial"/>
          <w:lang w:eastAsia="en-AU"/>
        </w:rPr>
        <w:t>category</w:t>
      </w:r>
      <w:r w:rsidRPr="004401A0">
        <w:rPr>
          <w:rFonts w:cs="Arial"/>
          <w:lang w:eastAsia="en-AU"/>
        </w:rPr>
        <w:t xml:space="preserve">. </w:t>
      </w:r>
      <w:r w:rsidR="00780A17">
        <w:t xml:space="preserve">FSANZ also considers the requirement to refer to 60 minutes or more of strenuous physical activity when making </w:t>
      </w:r>
      <w:r w:rsidR="00FF67DB">
        <w:t>a</w:t>
      </w:r>
      <w:r w:rsidR="00780A17">
        <w:t xml:space="preserve"> permitted health claim would aid consumers</w:t>
      </w:r>
      <w:r w:rsidR="00E633D3">
        <w:t>,</w:t>
      </w:r>
      <w:r w:rsidR="00780A17">
        <w:t xml:space="preserve"> in both the target and non-target groups</w:t>
      </w:r>
      <w:r w:rsidR="00E633D3">
        <w:t>,</w:t>
      </w:r>
      <w:r w:rsidR="00780A17">
        <w:t xml:space="preserve"> to identify the </w:t>
      </w:r>
      <w:r w:rsidR="00B74574">
        <w:t xml:space="preserve">specific conditions under which </w:t>
      </w:r>
      <w:r w:rsidR="00F30226">
        <w:t xml:space="preserve">electrolyte drink </w:t>
      </w:r>
      <w:r w:rsidR="00780A17">
        <w:t>products</w:t>
      </w:r>
      <w:r w:rsidR="00B74574">
        <w:t xml:space="preserve"> should be consumed</w:t>
      </w:r>
      <w:r w:rsidR="00780A17">
        <w:t>.</w:t>
      </w:r>
      <w:r w:rsidR="00E633D3" w:rsidRPr="00E633D3">
        <w:rPr>
          <w:sz w:val="20"/>
          <w:szCs w:val="20"/>
        </w:rPr>
        <w:t xml:space="preserve"> </w:t>
      </w:r>
    </w:p>
    <w:p w14:paraId="6478EF0F" w14:textId="44277ACB" w:rsidR="00482DC3" w:rsidRDefault="00482DC3" w:rsidP="00424BD1">
      <w:pPr>
        <w:widowControl/>
        <w:spacing w:before="120" w:after="120"/>
        <w:rPr>
          <w:rFonts w:cs="Arial"/>
          <w:lang w:eastAsia="en-AU"/>
        </w:rPr>
      </w:pPr>
      <w:r w:rsidRPr="004401A0">
        <w:rPr>
          <w:rFonts w:cs="Arial"/>
          <w:b/>
        </w:rPr>
        <w:t xml:space="preserve">Industry: </w:t>
      </w:r>
      <w:r w:rsidRPr="004401A0">
        <w:rPr>
          <w:rFonts w:cs="Arial"/>
        </w:rPr>
        <w:t xml:space="preserve">The proposed amendment to reduce the prescribed minimum </w:t>
      </w:r>
      <w:r w:rsidR="0052629D">
        <w:rPr>
          <w:rFonts w:cs="Arial"/>
          <w:lang w:eastAsia="en-AU"/>
        </w:rPr>
        <w:t>carbohydrate</w:t>
      </w:r>
      <w:r w:rsidRPr="004401A0">
        <w:rPr>
          <w:rFonts w:cs="Arial"/>
          <w:lang w:eastAsia="en-AU"/>
        </w:rPr>
        <w:t xml:space="preserve"> amount from 50 g/L to 20 g/L</w:t>
      </w:r>
      <w:r>
        <w:rPr>
          <w:rFonts w:cs="Arial"/>
          <w:lang w:eastAsia="en-AU"/>
        </w:rPr>
        <w:t>,</w:t>
      </w:r>
      <w:r w:rsidRPr="004401A0">
        <w:rPr>
          <w:rFonts w:cs="Arial"/>
          <w:lang w:eastAsia="en-AU"/>
        </w:rPr>
        <w:t xml:space="preserve"> consistent with</w:t>
      </w:r>
      <w:r>
        <w:rPr>
          <w:rFonts w:cs="Arial"/>
          <w:lang w:eastAsia="en-AU"/>
        </w:rPr>
        <w:t xml:space="preserve"> the</w:t>
      </w:r>
      <w:r w:rsidRPr="004401A0">
        <w:rPr>
          <w:rFonts w:cs="Arial"/>
          <w:lang w:eastAsia="en-AU"/>
        </w:rPr>
        <w:t xml:space="preserve"> assessed scientific evidence</w:t>
      </w:r>
      <w:r>
        <w:rPr>
          <w:rFonts w:cs="Arial"/>
          <w:lang w:eastAsia="en-AU"/>
        </w:rPr>
        <w:t>,</w:t>
      </w:r>
      <w:r w:rsidRPr="004401A0">
        <w:rPr>
          <w:rFonts w:cs="Arial"/>
          <w:lang w:eastAsia="en-AU"/>
        </w:rPr>
        <w:t xml:space="preserve"> </w:t>
      </w:r>
      <w:r w:rsidR="00181CBE">
        <w:rPr>
          <w:rFonts w:cs="Arial"/>
          <w:lang w:eastAsia="en-AU"/>
        </w:rPr>
        <w:t>would</w:t>
      </w:r>
      <w:r w:rsidR="00181CBE" w:rsidRPr="004401A0">
        <w:rPr>
          <w:rFonts w:cs="Arial"/>
          <w:lang w:eastAsia="en-AU"/>
        </w:rPr>
        <w:t xml:space="preserve"> </w:t>
      </w:r>
      <w:r>
        <w:rPr>
          <w:rFonts w:cs="Arial"/>
          <w:lang w:eastAsia="en-AU"/>
        </w:rPr>
        <w:t>provide the beverage industry with the opportunity to innovate</w:t>
      </w:r>
      <w:r w:rsidRPr="004401A0">
        <w:rPr>
          <w:rFonts w:cs="Arial"/>
          <w:lang w:eastAsia="en-AU"/>
        </w:rPr>
        <w:t xml:space="preserve"> with </w:t>
      </w:r>
      <w:r w:rsidR="004A11A6">
        <w:rPr>
          <w:rFonts w:cs="Arial"/>
          <w:lang w:eastAsia="en-AU"/>
        </w:rPr>
        <w:t xml:space="preserve">lower </w:t>
      </w:r>
      <w:r w:rsidR="0052629D">
        <w:rPr>
          <w:rFonts w:cs="Arial"/>
          <w:lang w:eastAsia="en-AU"/>
        </w:rPr>
        <w:t>carbohydrate</w:t>
      </w:r>
      <w:r w:rsidR="00F30226">
        <w:rPr>
          <w:rFonts w:cs="Arial"/>
          <w:lang w:eastAsia="en-AU"/>
        </w:rPr>
        <w:t xml:space="preserve"> electrolyte drinks </w:t>
      </w:r>
      <w:r w:rsidR="004A11A6">
        <w:rPr>
          <w:rFonts w:cs="Arial"/>
          <w:lang w:eastAsia="en-AU"/>
        </w:rPr>
        <w:t xml:space="preserve">within this </w:t>
      </w:r>
      <w:r w:rsidRPr="004401A0">
        <w:rPr>
          <w:rFonts w:cs="Arial"/>
          <w:lang w:eastAsia="en-AU"/>
        </w:rPr>
        <w:t xml:space="preserve">category. </w:t>
      </w:r>
      <w:r w:rsidR="00181CBE">
        <w:rPr>
          <w:rFonts w:cs="Arial"/>
          <w:lang w:eastAsia="en-AU"/>
        </w:rPr>
        <w:t xml:space="preserve">The </w:t>
      </w:r>
      <w:r w:rsidR="00E22FB0">
        <w:rPr>
          <w:rFonts w:cs="Arial"/>
          <w:lang w:eastAsia="en-AU"/>
        </w:rPr>
        <w:t xml:space="preserve">example </w:t>
      </w:r>
      <w:r w:rsidR="00181CBE">
        <w:rPr>
          <w:rFonts w:cs="Arial"/>
          <w:lang w:eastAsia="en-AU"/>
        </w:rPr>
        <w:t xml:space="preserve">amended draft variation </w:t>
      </w:r>
      <w:r w:rsidR="000A394A">
        <w:rPr>
          <w:rFonts w:cs="Arial"/>
          <w:lang w:eastAsia="en-AU"/>
        </w:rPr>
        <w:t xml:space="preserve">is less prescriptive and allows more preapproved </w:t>
      </w:r>
      <w:r w:rsidR="004B335C">
        <w:rPr>
          <w:rFonts w:cs="Arial"/>
          <w:lang w:eastAsia="en-AU"/>
        </w:rPr>
        <w:t xml:space="preserve">health </w:t>
      </w:r>
      <w:r w:rsidR="00D93DD0">
        <w:rPr>
          <w:rFonts w:cs="Arial"/>
          <w:lang w:eastAsia="en-AU"/>
        </w:rPr>
        <w:t>claims</w:t>
      </w:r>
      <w:r w:rsidR="000A394A">
        <w:rPr>
          <w:rFonts w:cs="Arial"/>
          <w:lang w:eastAsia="en-AU"/>
        </w:rPr>
        <w:t xml:space="preserve"> </w:t>
      </w:r>
      <w:r w:rsidR="000A394A" w:rsidRPr="000A394A">
        <w:rPr>
          <w:rFonts w:cs="Arial"/>
          <w:lang w:eastAsia="en-AU"/>
        </w:rPr>
        <w:t>about hydration and performance</w:t>
      </w:r>
      <w:r w:rsidR="004B335C" w:rsidRPr="000A394A">
        <w:rPr>
          <w:rFonts w:cs="Arial"/>
          <w:lang w:eastAsia="en-AU"/>
        </w:rPr>
        <w:t xml:space="preserve"> </w:t>
      </w:r>
      <w:r w:rsidR="000A394A">
        <w:rPr>
          <w:rFonts w:cs="Arial"/>
          <w:lang w:eastAsia="en-AU"/>
        </w:rPr>
        <w:t xml:space="preserve">than </w:t>
      </w:r>
      <w:r w:rsidR="00DE7ADE">
        <w:rPr>
          <w:rFonts w:cs="Arial"/>
          <w:lang w:eastAsia="en-AU"/>
        </w:rPr>
        <w:t xml:space="preserve">are </w:t>
      </w:r>
      <w:r w:rsidR="000A394A">
        <w:rPr>
          <w:rFonts w:cs="Arial"/>
          <w:lang w:eastAsia="en-AU"/>
        </w:rPr>
        <w:t xml:space="preserve">currently permitted, </w:t>
      </w:r>
      <w:r w:rsidR="00DE7ADE">
        <w:rPr>
          <w:rFonts w:cs="Arial"/>
          <w:lang w:eastAsia="en-AU"/>
        </w:rPr>
        <w:t>and</w:t>
      </w:r>
      <w:r w:rsidR="000A394A">
        <w:rPr>
          <w:rFonts w:cs="Arial"/>
          <w:lang w:eastAsia="en-AU"/>
        </w:rPr>
        <w:t xml:space="preserve"> do not require self-</w:t>
      </w:r>
      <w:r w:rsidR="000A394A">
        <w:rPr>
          <w:rFonts w:cs="Arial"/>
          <w:lang w:eastAsia="en-AU"/>
        </w:rPr>
        <w:lastRenderedPageBreak/>
        <w:t>substantiation which can be a costly undertaking for industry</w:t>
      </w:r>
      <w:r w:rsidR="00D93DD0">
        <w:rPr>
          <w:rFonts w:cs="Arial"/>
          <w:lang w:eastAsia="en-AU"/>
        </w:rPr>
        <w:t>.</w:t>
      </w:r>
      <w:r>
        <w:rPr>
          <w:rFonts w:cs="Arial"/>
          <w:lang w:eastAsia="en-AU"/>
        </w:rPr>
        <w:t xml:space="preserve"> </w:t>
      </w:r>
      <w:r w:rsidR="00EA2A83">
        <w:rPr>
          <w:rFonts w:cs="Arial"/>
          <w:lang w:eastAsia="en-AU"/>
        </w:rPr>
        <w:t xml:space="preserve">It </w:t>
      </w:r>
      <w:r w:rsidR="00181CBE">
        <w:rPr>
          <w:rFonts w:cs="Arial"/>
          <w:lang w:eastAsia="en-AU"/>
        </w:rPr>
        <w:t xml:space="preserve">would </w:t>
      </w:r>
      <w:r w:rsidR="00EA2A83">
        <w:rPr>
          <w:rFonts w:cs="Arial"/>
          <w:lang w:eastAsia="en-AU"/>
        </w:rPr>
        <w:t xml:space="preserve">also identify which substances are electrolytes and regulate electrolyte content claims. </w:t>
      </w:r>
      <w:r w:rsidR="004A11A6">
        <w:rPr>
          <w:rFonts w:cs="Arial"/>
          <w:lang w:eastAsia="en-AU"/>
        </w:rPr>
        <w:t xml:space="preserve">A prescribed name </w:t>
      </w:r>
      <w:r w:rsidR="00DA2C0C">
        <w:rPr>
          <w:rFonts w:cs="Arial"/>
          <w:lang w:eastAsia="en-AU"/>
        </w:rPr>
        <w:t>would</w:t>
      </w:r>
      <w:r w:rsidR="004A11A6">
        <w:rPr>
          <w:rFonts w:cs="Arial"/>
          <w:lang w:eastAsia="en-AU"/>
        </w:rPr>
        <w:t xml:space="preserve"> be required.</w:t>
      </w:r>
      <w:r w:rsidR="00F30226">
        <w:rPr>
          <w:rFonts w:cs="Arial"/>
          <w:lang w:eastAsia="en-AU"/>
        </w:rPr>
        <w:t xml:space="preserve"> </w:t>
      </w:r>
      <w:r w:rsidR="00DA2C0C">
        <w:rPr>
          <w:rFonts w:cs="Arial"/>
          <w:lang w:eastAsia="en-AU"/>
        </w:rPr>
        <w:t xml:space="preserve">Electrolyte </w:t>
      </w:r>
      <w:r w:rsidR="00F30226">
        <w:rPr>
          <w:rFonts w:cs="Arial"/>
          <w:lang w:eastAsia="en-AU"/>
        </w:rPr>
        <w:t xml:space="preserve">drink </w:t>
      </w:r>
      <w:r>
        <w:rPr>
          <w:rFonts w:cs="Arial"/>
          <w:lang w:eastAsia="en-AU"/>
        </w:rPr>
        <w:t xml:space="preserve">manufacturers are already required to include a name or description to indicate the true nature of the product – the term ‘electrolyte drink’ is often used. Therefore, the </w:t>
      </w:r>
      <w:r w:rsidR="004B335C">
        <w:rPr>
          <w:rFonts w:cs="Arial"/>
          <w:lang w:eastAsia="en-AU"/>
        </w:rPr>
        <w:t xml:space="preserve">impact of </w:t>
      </w:r>
      <w:r>
        <w:rPr>
          <w:rFonts w:cs="Arial"/>
          <w:lang w:eastAsia="en-AU"/>
        </w:rPr>
        <w:t>mandat</w:t>
      </w:r>
      <w:r w:rsidR="004B335C">
        <w:rPr>
          <w:rFonts w:cs="Arial"/>
          <w:lang w:eastAsia="en-AU"/>
        </w:rPr>
        <w:t>ing</w:t>
      </w:r>
      <w:r>
        <w:rPr>
          <w:rFonts w:cs="Arial"/>
          <w:lang w:eastAsia="en-AU"/>
        </w:rPr>
        <w:t xml:space="preserve"> a prescribed name on</w:t>
      </w:r>
      <w:r w:rsidR="00F30226">
        <w:rPr>
          <w:rFonts w:cs="Arial"/>
          <w:lang w:eastAsia="en-AU"/>
        </w:rPr>
        <w:t xml:space="preserve"> electrolyte drinks </w:t>
      </w:r>
      <w:r>
        <w:rPr>
          <w:rFonts w:cs="Arial"/>
          <w:lang w:eastAsia="en-AU"/>
        </w:rPr>
        <w:t>is considered small relative to the li</w:t>
      </w:r>
      <w:r w:rsidR="00C11B68">
        <w:rPr>
          <w:rFonts w:cs="Arial"/>
          <w:lang w:eastAsia="en-AU"/>
        </w:rPr>
        <w:t>kely benefits of the permission</w:t>
      </w:r>
      <w:r w:rsidR="004D2DC3">
        <w:rPr>
          <w:rFonts w:cs="Arial"/>
          <w:lang w:eastAsia="en-AU"/>
        </w:rPr>
        <w:t>s</w:t>
      </w:r>
      <w:r>
        <w:rPr>
          <w:rFonts w:cs="Arial"/>
          <w:lang w:eastAsia="en-AU"/>
        </w:rPr>
        <w:t>.</w:t>
      </w:r>
    </w:p>
    <w:p w14:paraId="6358875D" w14:textId="672722EC" w:rsidR="008A592C" w:rsidRDefault="008A592C" w:rsidP="00424BD1">
      <w:pPr>
        <w:widowControl/>
        <w:spacing w:before="120" w:after="120"/>
        <w:rPr>
          <w:rFonts w:cs="Arial"/>
          <w:lang w:eastAsia="en-AU"/>
        </w:rPr>
      </w:pPr>
      <w:r w:rsidRPr="008A592C">
        <w:rPr>
          <w:rFonts w:cs="Arial"/>
          <w:b/>
          <w:lang w:eastAsia="en-AU"/>
        </w:rPr>
        <w:t>Government</w:t>
      </w:r>
      <w:r>
        <w:rPr>
          <w:rFonts w:cs="Arial"/>
          <w:lang w:eastAsia="en-AU"/>
        </w:rPr>
        <w:t xml:space="preserve">: There are no additional costs to government. The proposed mandatory prescribed name </w:t>
      </w:r>
      <w:r w:rsidR="00DA2C0C">
        <w:rPr>
          <w:rFonts w:cs="Arial"/>
          <w:lang w:eastAsia="en-AU"/>
        </w:rPr>
        <w:t>would</w:t>
      </w:r>
      <w:r>
        <w:rPr>
          <w:rFonts w:cs="Arial"/>
          <w:lang w:eastAsia="en-AU"/>
        </w:rPr>
        <w:t xml:space="preserve"> assist enforcement agencies </w:t>
      </w:r>
      <w:r w:rsidR="00A90A9E">
        <w:rPr>
          <w:rFonts w:cs="Arial"/>
          <w:lang w:eastAsia="en-AU"/>
        </w:rPr>
        <w:t>to identify</w:t>
      </w:r>
      <w:r w:rsidR="00F30226">
        <w:rPr>
          <w:rFonts w:cs="Arial"/>
          <w:lang w:eastAsia="en-AU"/>
        </w:rPr>
        <w:t xml:space="preserve"> electrolyte drink </w:t>
      </w:r>
      <w:r w:rsidR="00A90A9E">
        <w:rPr>
          <w:rFonts w:cs="Arial"/>
          <w:lang w:eastAsia="en-AU"/>
        </w:rPr>
        <w:t xml:space="preserve">products from other water-based beverages. </w:t>
      </w:r>
    </w:p>
    <w:p w14:paraId="7D0905EB" w14:textId="7A9E67C7" w:rsidR="00482DC3" w:rsidRPr="00266754" w:rsidRDefault="00482DC3" w:rsidP="00424BD1">
      <w:pPr>
        <w:pStyle w:val="Heading5"/>
        <w:widowControl/>
        <w:spacing w:before="120" w:after="120"/>
        <w:ind w:left="0" w:firstLine="0"/>
        <w:rPr>
          <w:rFonts w:cs="Arial"/>
          <w:b/>
        </w:rPr>
      </w:pPr>
      <w:r w:rsidRPr="00266754">
        <w:rPr>
          <w:rFonts w:cs="Arial"/>
          <w:b/>
        </w:rPr>
        <w:t>Conclusions from cost benefit considerations</w:t>
      </w:r>
    </w:p>
    <w:p w14:paraId="06AB8CAB" w14:textId="33EB454F" w:rsidR="001077BB" w:rsidRPr="00D74448" w:rsidRDefault="00482DC3" w:rsidP="00424BD1">
      <w:pPr>
        <w:widowControl/>
        <w:spacing w:before="120" w:after="120"/>
        <w:rPr>
          <w:rFonts w:cs="Arial"/>
        </w:rPr>
      </w:pPr>
      <w:r w:rsidRPr="00D47278">
        <w:rPr>
          <w:rFonts w:cs="Arial"/>
        </w:rPr>
        <w:t xml:space="preserve">FSANZ’s assessment is that the direct and indirect benefits that would arise from proceeding with the </w:t>
      </w:r>
      <w:r w:rsidR="00E22FB0">
        <w:rPr>
          <w:rFonts w:cs="Arial"/>
        </w:rPr>
        <w:t xml:space="preserve">example </w:t>
      </w:r>
      <w:r w:rsidR="006A0C2E">
        <w:rPr>
          <w:rFonts w:cs="Arial"/>
        </w:rPr>
        <w:t xml:space="preserve">amended </w:t>
      </w:r>
      <w:r w:rsidRPr="00D47278">
        <w:rPr>
          <w:rFonts w:cs="Arial"/>
        </w:rPr>
        <w:t xml:space="preserve">draft variation </w:t>
      </w:r>
      <w:r w:rsidR="006A0C2E">
        <w:rPr>
          <w:rFonts w:cs="Arial"/>
        </w:rPr>
        <w:t xml:space="preserve">(if approved) </w:t>
      </w:r>
      <w:r w:rsidRPr="00D47278">
        <w:rPr>
          <w:rFonts w:cs="Arial"/>
        </w:rPr>
        <w:t xml:space="preserve">as outlined above, </w:t>
      </w:r>
      <w:r>
        <w:rPr>
          <w:rFonts w:cs="Arial"/>
        </w:rPr>
        <w:t xml:space="preserve">are likely to </w:t>
      </w:r>
      <w:r w:rsidRPr="00D47278">
        <w:rPr>
          <w:rFonts w:cs="Arial"/>
        </w:rPr>
        <w:t>outweigh the costs</w:t>
      </w:r>
      <w:r>
        <w:rPr>
          <w:rFonts w:cs="Arial"/>
        </w:rPr>
        <w:t xml:space="preserve"> to the community, government and industry</w:t>
      </w:r>
      <w:r w:rsidRPr="00D47278">
        <w:rPr>
          <w:rFonts w:cs="Arial"/>
        </w:rPr>
        <w:t xml:space="preserve">. </w:t>
      </w:r>
    </w:p>
    <w:p w14:paraId="00FB8BE8" w14:textId="4B842615" w:rsidR="001077BB" w:rsidRDefault="001077BB" w:rsidP="00424BD1">
      <w:pPr>
        <w:pStyle w:val="Heading4"/>
        <w:widowControl/>
        <w:spacing w:before="120" w:after="120"/>
      </w:pPr>
      <w:r>
        <w:t>2.</w:t>
      </w:r>
      <w:r w:rsidR="00266754">
        <w:t>6</w:t>
      </w:r>
      <w:r>
        <w:t>.1.2</w:t>
      </w:r>
      <w:r>
        <w:tab/>
        <w:t>Other measures</w:t>
      </w:r>
    </w:p>
    <w:p w14:paraId="4D330418" w14:textId="168EC35E" w:rsidR="001077BB" w:rsidRPr="00B95D66" w:rsidRDefault="002B14B7" w:rsidP="00424BD1">
      <w:pPr>
        <w:widowControl/>
        <w:spacing w:before="120" w:after="120"/>
      </w:pPr>
      <w:r>
        <w:t>FSANZ is not aware of any</w:t>
      </w:r>
      <w:r w:rsidR="001077BB" w:rsidRPr="007F7BF7">
        <w:t xml:space="preserve"> other measures </w:t>
      </w:r>
      <w:r w:rsidR="001077BB">
        <w:t xml:space="preserve">(whether available to FSANZ or not) that </w:t>
      </w:r>
      <w:r w:rsidR="001077BB" w:rsidRPr="007F7BF7">
        <w:t>would</w:t>
      </w:r>
      <w:r w:rsidR="001077BB">
        <w:t xml:space="preserve"> be more cost-effective than a food regulatory measure developed or varied as a result of th</w:t>
      </w:r>
      <w:r w:rsidR="003B369B">
        <w:t>is</w:t>
      </w:r>
      <w:r w:rsidR="001077BB">
        <w:t xml:space="preserve"> </w:t>
      </w:r>
      <w:r w:rsidR="0064746C">
        <w:t>p</w:t>
      </w:r>
      <w:r w:rsidR="004D2DC3">
        <w:t>roposal</w:t>
      </w:r>
      <w:r w:rsidR="001077BB" w:rsidRPr="00B95D66">
        <w:t>.</w:t>
      </w:r>
      <w:r w:rsidR="00A90A9E" w:rsidRPr="00B95D66">
        <w:t xml:space="preserve"> </w:t>
      </w:r>
    </w:p>
    <w:p w14:paraId="3930EB21" w14:textId="737A48E7" w:rsidR="001077BB" w:rsidRDefault="001077BB" w:rsidP="00424BD1">
      <w:pPr>
        <w:pStyle w:val="Heading4"/>
        <w:widowControl/>
        <w:spacing w:before="120" w:after="120"/>
      </w:pPr>
      <w:r>
        <w:t>2.</w:t>
      </w:r>
      <w:r w:rsidR="00266754">
        <w:t>6</w:t>
      </w:r>
      <w:r>
        <w:t>.1.3</w:t>
      </w:r>
      <w:r>
        <w:tab/>
        <w:t>A</w:t>
      </w:r>
      <w:r w:rsidRPr="00914030">
        <w:t>ny relevant New Zealand standards</w:t>
      </w:r>
    </w:p>
    <w:p w14:paraId="38ED4385" w14:textId="75676A1C" w:rsidR="006B3EF2" w:rsidRDefault="00C77267" w:rsidP="00424BD1">
      <w:pPr>
        <w:widowControl/>
        <w:spacing w:before="120" w:after="120"/>
        <w:rPr>
          <w:lang w:bidi="ar-SA"/>
        </w:rPr>
      </w:pPr>
      <w:r>
        <w:rPr>
          <w:szCs w:val="22"/>
        </w:rPr>
        <w:t>The</w:t>
      </w:r>
      <w:r w:rsidR="006A0C2E">
        <w:rPr>
          <w:szCs w:val="22"/>
        </w:rPr>
        <w:t xml:space="preserve"> relevant Standards</w:t>
      </w:r>
      <w:r w:rsidR="006B3EF2">
        <w:rPr>
          <w:szCs w:val="22"/>
        </w:rPr>
        <w:t xml:space="preserve"> </w:t>
      </w:r>
      <w:r w:rsidR="006A0C2E">
        <w:rPr>
          <w:szCs w:val="22"/>
        </w:rPr>
        <w:t xml:space="preserve">apply </w:t>
      </w:r>
      <w:r w:rsidR="006B3EF2">
        <w:rPr>
          <w:szCs w:val="22"/>
        </w:rPr>
        <w:t>in both Australia and New Zealand</w:t>
      </w:r>
      <w:r>
        <w:rPr>
          <w:szCs w:val="22"/>
        </w:rPr>
        <w:t>.</w:t>
      </w:r>
      <w:r w:rsidR="008F0B31">
        <w:rPr>
          <w:szCs w:val="22"/>
        </w:rPr>
        <w:t xml:space="preserve"> There are no</w:t>
      </w:r>
      <w:r w:rsidR="006B3EF2">
        <w:rPr>
          <w:szCs w:val="22"/>
        </w:rPr>
        <w:t xml:space="preserve"> relevant New Zealand only standards for</w:t>
      </w:r>
      <w:r w:rsidR="0052629D">
        <w:rPr>
          <w:szCs w:val="22"/>
        </w:rPr>
        <w:t xml:space="preserve"> electrolyte drinks.</w:t>
      </w:r>
    </w:p>
    <w:p w14:paraId="6FA12DB1" w14:textId="48FF89F7" w:rsidR="001077BB" w:rsidRPr="00914030" w:rsidRDefault="001077BB" w:rsidP="00424BD1">
      <w:pPr>
        <w:pStyle w:val="Heading4"/>
        <w:widowControl/>
        <w:spacing w:before="120" w:after="120"/>
      </w:pPr>
      <w:r>
        <w:t>2.</w:t>
      </w:r>
      <w:r w:rsidR="00266754">
        <w:t>6</w:t>
      </w:r>
      <w:r>
        <w:t>.1.4</w:t>
      </w:r>
      <w:r>
        <w:tab/>
        <w:t>Any other relevant matters</w:t>
      </w:r>
    </w:p>
    <w:p w14:paraId="73A8D3E1" w14:textId="5FBDDCA6" w:rsidR="001077BB" w:rsidRPr="009A749B" w:rsidRDefault="00C77267" w:rsidP="00424BD1">
      <w:pPr>
        <w:widowControl/>
        <w:spacing w:before="120" w:after="120"/>
      </w:pPr>
      <w:r>
        <w:t>Other</w:t>
      </w:r>
      <w:r w:rsidR="001077BB">
        <w:t xml:space="preserve"> relevant matters</w:t>
      </w:r>
      <w:r>
        <w:t xml:space="preserve"> are considered below</w:t>
      </w:r>
      <w:r w:rsidR="001077BB">
        <w:rPr>
          <w:lang w:bidi="ar-SA"/>
        </w:rPr>
        <w:t>.</w:t>
      </w:r>
      <w:r w:rsidR="001077BB">
        <w:t xml:space="preserve"> </w:t>
      </w:r>
    </w:p>
    <w:p w14:paraId="2ED5561A" w14:textId="61494C05" w:rsidR="001077BB" w:rsidRPr="00914030" w:rsidRDefault="001077BB" w:rsidP="00424BD1">
      <w:pPr>
        <w:pStyle w:val="Heading3"/>
        <w:widowControl/>
        <w:spacing w:before="120" w:after="120"/>
      </w:pPr>
      <w:bookmarkStart w:id="267" w:name="_Toc425174943"/>
      <w:bookmarkStart w:id="268" w:name="_Toc60825019"/>
      <w:bookmarkStart w:id="269" w:name="_Toc61442323"/>
      <w:bookmarkStart w:id="270" w:name="_Toc61449867"/>
      <w:bookmarkStart w:id="271" w:name="_Toc63342511"/>
      <w:bookmarkStart w:id="272" w:name="_Toc71711650"/>
      <w:bookmarkStart w:id="273" w:name="_Toc72673584"/>
      <w:r>
        <w:t>2.</w:t>
      </w:r>
      <w:r w:rsidR="00266754">
        <w:t>6</w:t>
      </w:r>
      <w:r>
        <w:t>.2</w:t>
      </w:r>
      <w:r w:rsidRPr="00914030">
        <w:tab/>
      </w:r>
      <w:r>
        <w:t>Subsection 18(1)</w:t>
      </w:r>
      <w:bookmarkEnd w:id="267"/>
      <w:bookmarkEnd w:id="268"/>
      <w:bookmarkEnd w:id="269"/>
      <w:bookmarkEnd w:id="270"/>
      <w:bookmarkEnd w:id="271"/>
      <w:bookmarkEnd w:id="272"/>
      <w:bookmarkEnd w:id="273"/>
      <w:r>
        <w:t xml:space="preserve"> </w:t>
      </w:r>
    </w:p>
    <w:p w14:paraId="4954E48F" w14:textId="7EE7146E" w:rsidR="001077BB" w:rsidRPr="00914030" w:rsidRDefault="001077BB" w:rsidP="00424BD1">
      <w:pPr>
        <w:widowControl/>
        <w:spacing w:before="120" w:after="120"/>
      </w:pPr>
      <w:r w:rsidRPr="00914030">
        <w:rPr>
          <w:rFonts w:cs="Arial"/>
        </w:rPr>
        <w:t xml:space="preserve">FSANZ has also </w:t>
      </w:r>
      <w:r w:rsidRPr="00914030">
        <w:t xml:space="preserve">considered the three objectives in subsection 18(1) of the </w:t>
      </w:r>
      <w:r>
        <w:t>FSANZ Act during the assessment</w:t>
      </w:r>
      <w:r w:rsidR="00E54231">
        <w:t>, as follows</w:t>
      </w:r>
      <w:r>
        <w:t>.</w:t>
      </w:r>
    </w:p>
    <w:p w14:paraId="58D115DE" w14:textId="2C8D19C3" w:rsidR="001077BB" w:rsidRPr="00914030" w:rsidRDefault="001077BB" w:rsidP="00424BD1">
      <w:pPr>
        <w:pStyle w:val="Heading4"/>
        <w:widowControl/>
        <w:spacing w:before="120" w:after="120"/>
        <w:rPr>
          <w:lang w:eastAsia="en-AU"/>
        </w:rPr>
      </w:pPr>
      <w:r>
        <w:rPr>
          <w:lang w:eastAsia="en-AU"/>
        </w:rPr>
        <w:t>2.</w:t>
      </w:r>
      <w:r w:rsidR="00266754">
        <w:rPr>
          <w:lang w:eastAsia="en-AU"/>
        </w:rPr>
        <w:t>6</w:t>
      </w:r>
      <w:r>
        <w:rPr>
          <w:lang w:eastAsia="en-AU"/>
        </w:rPr>
        <w:t>.2</w:t>
      </w:r>
      <w:r w:rsidRPr="00914030">
        <w:rPr>
          <w:lang w:eastAsia="en-AU"/>
        </w:rPr>
        <w:t>.1</w:t>
      </w:r>
      <w:r w:rsidRPr="00914030">
        <w:rPr>
          <w:lang w:eastAsia="en-AU"/>
        </w:rPr>
        <w:tab/>
      </w:r>
      <w:r w:rsidR="00745D7B">
        <w:rPr>
          <w:lang w:eastAsia="en-AU"/>
        </w:rPr>
        <w:t>The p</w:t>
      </w:r>
      <w:r w:rsidR="00745D7B" w:rsidRPr="00914030">
        <w:rPr>
          <w:lang w:eastAsia="en-AU"/>
        </w:rPr>
        <w:t xml:space="preserve">rotection </w:t>
      </w:r>
      <w:r w:rsidRPr="00914030">
        <w:rPr>
          <w:lang w:eastAsia="en-AU"/>
        </w:rPr>
        <w:t>of public health and safety</w:t>
      </w:r>
    </w:p>
    <w:p w14:paraId="2B6E5C57" w14:textId="440139CF" w:rsidR="004660F3" w:rsidRPr="004660F3" w:rsidRDefault="00E14771" w:rsidP="004660F3">
      <w:pPr>
        <w:pStyle w:val="Heading4"/>
        <w:keepNext w:val="0"/>
        <w:widowControl/>
        <w:spacing w:before="120" w:after="120"/>
        <w:ind w:left="0" w:firstLine="0"/>
        <w:rPr>
          <w:b w:val="0"/>
          <w:i w:val="0"/>
        </w:rPr>
      </w:pPr>
      <w:r>
        <w:rPr>
          <w:b w:val="0"/>
          <w:i w:val="0"/>
          <w:lang w:eastAsia="en-AU"/>
        </w:rPr>
        <w:t>The consumption of</w:t>
      </w:r>
      <w:r w:rsidR="00F30226">
        <w:rPr>
          <w:b w:val="0"/>
          <w:i w:val="0"/>
          <w:lang w:eastAsia="en-AU"/>
        </w:rPr>
        <w:t xml:space="preserve"> electrolyte drinks </w:t>
      </w:r>
      <w:r>
        <w:rPr>
          <w:b w:val="0"/>
          <w:i w:val="0"/>
          <w:lang w:eastAsia="en-AU"/>
        </w:rPr>
        <w:t xml:space="preserve">is only a small proportion of consumption of sugar sweetened beverages. </w:t>
      </w:r>
      <w:r w:rsidR="003F7FD7">
        <w:rPr>
          <w:b w:val="0"/>
          <w:i w:val="0"/>
          <w:lang w:eastAsia="en-AU"/>
        </w:rPr>
        <w:t xml:space="preserve">Notwithstanding, </w:t>
      </w:r>
      <w:r w:rsidR="003F7FD7">
        <w:rPr>
          <w:b w:val="0"/>
          <w:i w:val="0"/>
        </w:rPr>
        <w:t>t</w:t>
      </w:r>
      <w:r w:rsidR="004660F3" w:rsidRPr="004660F3">
        <w:rPr>
          <w:b w:val="0"/>
          <w:i w:val="0"/>
        </w:rPr>
        <w:t>he following proposed amendments would protect public health and safety:</w:t>
      </w:r>
    </w:p>
    <w:p w14:paraId="43D933A5" w14:textId="08FE2333" w:rsidR="004660F3" w:rsidRPr="004660F3" w:rsidRDefault="004660F3" w:rsidP="00965DE2">
      <w:pPr>
        <w:pStyle w:val="CommentText"/>
        <w:numPr>
          <w:ilvl w:val="0"/>
          <w:numId w:val="30"/>
        </w:numPr>
        <w:spacing w:before="120" w:after="120"/>
        <w:ind w:left="357" w:hanging="357"/>
        <w:rPr>
          <w:sz w:val="22"/>
          <w:szCs w:val="22"/>
          <w:lang w:eastAsia="en-AU"/>
        </w:rPr>
      </w:pPr>
      <w:r w:rsidRPr="004660F3">
        <w:rPr>
          <w:sz w:val="22"/>
          <w:szCs w:val="22"/>
          <w:lang w:eastAsia="en-AU"/>
        </w:rPr>
        <w:t xml:space="preserve">reduction in minimum carbohydrate </w:t>
      </w:r>
    </w:p>
    <w:p w14:paraId="7E9F2A10" w14:textId="6E015FA1" w:rsidR="004660F3" w:rsidRPr="004660F3" w:rsidRDefault="004660F3" w:rsidP="00965DE2">
      <w:pPr>
        <w:pStyle w:val="CommentText"/>
        <w:numPr>
          <w:ilvl w:val="0"/>
          <w:numId w:val="30"/>
        </w:numPr>
        <w:spacing w:before="120" w:after="120"/>
        <w:ind w:left="357" w:hanging="357"/>
        <w:rPr>
          <w:sz w:val="22"/>
          <w:szCs w:val="22"/>
          <w:lang w:eastAsia="en-AU"/>
        </w:rPr>
      </w:pPr>
      <w:r w:rsidRPr="004660F3">
        <w:rPr>
          <w:sz w:val="22"/>
          <w:szCs w:val="22"/>
          <w:lang w:eastAsia="en-AU"/>
        </w:rPr>
        <w:t>restrictions on nutrition content claims</w:t>
      </w:r>
    </w:p>
    <w:p w14:paraId="3BD6797B" w14:textId="4002E8A2" w:rsidR="004660F3" w:rsidRPr="004660F3" w:rsidRDefault="004660F3" w:rsidP="00965DE2">
      <w:pPr>
        <w:pStyle w:val="CommentText"/>
        <w:numPr>
          <w:ilvl w:val="0"/>
          <w:numId w:val="30"/>
        </w:numPr>
        <w:spacing w:before="120" w:after="120"/>
        <w:ind w:left="357" w:hanging="357"/>
        <w:rPr>
          <w:sz w:val="22"/>
          <w:szCs w:val="22"/>
          <w:lang w:eastAsia="en-AU"/>
        </w:rPr>
      </w:pPr>
      <w:r w:rsidRPr="004660F3">
        <w:rPr>
          <w:sz w:val="22"/>
          <w:szCs w:val="22"/>
          <w:lang w:eastAsia="en-AU"/>
        </w:rPr>
        <w:t xml:space="preserve">the prohibition on health claims, other than three specific claims which must include a reference to 60 minutes or more of strenuous physical activity (which </w:t>
      </w:r>
      <w:r w:rsidRPr="004660F3">
        <w:rPr>
          <w:sz w:val="22"/>
          <w:szCs w:val="22"/>
        </w:rPr>
        <w:t>would aid to identify the target/non-target group)</w:t>
      </w:r>
      <w:r>
        <w:rPr>
          <w:sz w:val="22"/>
          <w:szCs w:val="22"/>
          <w:lang w:eastAsia="en-AU"/>
        </w:rPr>
        <w:t>.</w:t>
      </w:r>
    </w:p>
    <w:p w14:paraId="1982D31E" w14:textId="3CBBAF3E" w:rsidR="001077BB" w:rsidRDefault="001077BB" w:rsidP="006623C5">
      <w:pPr>
        <w:pStyle w:val="Heading4"/>
        <w:widowControl/>
        <w:spacing w:before="120" w:after="120"/>
        <w:rPr>
          <w:lang w:eastAsia="en-AU"/>
        </w:rPr>
      </w:pPr>
      <w:r>
        <w:rPr>
          <w:lang w:eastAsia="en-AU"/>
        </w:rPr>
        <w:t>2.</w:t>
      </w:r>
      <w:r w:rsidR="00266754">
        <w:rPr>
          <w:lang w:eastAsia="en-AU"/>
        </w:rPr>
        <w:t>6</w:t>
      </w:r>
      <w:r>
        <w:rPr>
          <w:lang w:eastAsia="en-AU"/>
        </w:rPr>
        <w:t>.2.</w:t>
      </w:r>
      <w:r w:rsidRPr="00914030">
        <w:rPr>
          <w:lang w:eastAsia="en-AU"/>
        </w:rPr>
        <w:t>2</w:t>
      </w:r>
      <w:r w:rsidR="006623C5">
        <w:rPr>
          <w:lang w:eastAsia="en-AU"/>
        </w:rPr>
        <w:tab/>
      </w:r>
      <w:r w:rsidR="00745D7B">
        <w:rPr>
          <w:lang w:eastAsia="en-AU"/>
        </w:rPr>
        <w:t>The p</w:t>
      </w:r>
      <w:r w:rsidRPr="00914030">
        <w:rPr>
          <w:lang w:eastAsia="en-AU"/>
        </w:rPr>
        <w:t xml:space="preserve">rovision of adequate information to enable consumers to make informed </w:t>
      </w:r>
      <w:r w:rsidR="00745D7B">
        <w:rPr>
          <w:lang w:eastAsia="en-AU"/>
        </w:rPr>
        <w:t xml:space="preserve">food </w:t>
      </w:r>
      <w:r w:rsidRPr="00914030">
        <w:rPr>
          <w:lang w:eastAsia="en-AU"/>
        </w:rPr>
        <w:t>choices</w:t>
      </w:r>
    </w:p>
    <w:p w14:paraId="1BE98489" w14:textId="7DE9AE68" w:rsidR="00F36ED9" w:rsidRDefault="00F0412D" w:rsidP="00424BD1">
      <w:pPr>
        <w:widowControl/>
        <w:spacing w:before="120" w:after="120"/>
      </w:pPr>
      <w:r>
        <w:t xml:space="preserve">Generic </w:t>
      </w:r>
      <w:r w:rsidRPr="00F0412D">
        <w:t xml:space="preserve">labelling requirements </w:t>
      </w:r>
      <w:r>
        <w:t xml:space="preserve">in the Code </w:t>
      </w:r>
      <w:r w:rsidR="00DA2C0C">
        <w:t>would</w:t>
      </w:r>
      <w:r>
        <w:t xml:space="preserve"> continue to apply to</w:t>
      </w:r>
      <w:r w:rsidR="00F30226">
        <w:t xml:space="preserve"> electrolyte drinks </w:t>
      </w:r>
      <w:r>
        <w:t>in addition to the amendments proposed for</w:t>
      </w:r>
      <w:r w:rsidR="00F30226">
        <w:t xml:space="preserve"> electrolyte drinks </w:t>
      </w:r>
      <w:r>
        <w:t xml:space="preserve">as discussed in </w:t>
      </w:r>
      <w:r w:rsidR="00CA6CDC">
        <w:t xml:space="preserve">Sections </w:t>
      </w:r>
      <w:r w:rsidR="009A749B">
        <w:t xml:space="preserve">2.3.7 </w:t>
      </w:r>
      <w:r w:rsidR="00B95D66">
        <w:t xml:space="preserve">(nutrition information </w:t>
      </w:r>
      <w:r w:rsidR="00494242">
        <w:t>requirements</w:t>
      </w:r>
      <w:r w:rsidR="00B95D66">
        <w:t>)</w:t>
      </w:r>
      <w:r w:rsidR="009A749B">
        <w:t xml:space="preserve"> </w:t>
      </w:r>
      <w:r>
        <w:t xml:space="preserve">and </w:t>
      </w:r>
      <w:r w:rsidR="009A749B">
        <w:t>2.3.</w:t>
      </w:r>
      <w:r w:rsidR="00302925">
        <w:t>9</w:t>
      </w:r>
      <w:r w:rsidR="00302925" w:rsidRPr="00B95D66">
        <w:t xml:space="preserve"> </w:t>
      </w:r>
      <w:r w:rsidR="00B95D66">
        <w:t>(prescribed name)</w:t>
      </w:r>
      <w:r w:rsidR="00CA6CDC">
        <w:t xml:space="preserve"> of this </w:t>
      </w:r>
      <w:r w:rsidR="00417F12">
        <w:t>C</w:t>
      </w:r>
      <w:r w:rsidR="00E33499">
        <w:t>onsultation paper</w:t>
      </w:r>
      <w:r>
        <w:t xml:space="preserve">. </w:t>
      </w:r>
    </w:p>
    <w:p w14:paraId="78F6B3EF" w14:textId="35F13E00" w:rsidR="009D1478" w:rsidRPr="009A749B" w:rsidRDefault="009D1478" w:rsidP="00424BD1">
      <w:pPr>
        <w:pStyle w:val="CommentText"/>
        <w:widowControl/>
        <w:spacing w:before="120" w:after="120"/>
        <w:rPr>
          <w:sz w:val="22"/>
          <w:szCs w:val="22"/>
        </w:rPr>
      </w:pPr>
      <w:r>
        <w:rPr>
          <w:sz w:val="22"/>
          <w:szCs w:val="22"/>
        </w:rPr>
        <w:t xml:space="preserve">FSANZ has </w:t>
      </w:r>
      <w:r w:rsidR="00302925">
        <w:rPr>
          <w:sz w:val="22"/>
          <w:szCs w:val="22"/>
        </w:rPr>
        <w:t xml:space="preserve">proposed </w:t>
      </w:r>
      <w:r>
        <w:rPr>
          <w:sz w:val="22"/>
          <w:szCs w:val="22"/>
        </w:rPr>
        <w:t xml:space="preserve">a number of </w:t>
      </w:r>
      <w:r w:rsidR="00302925">
        <w:rPr>
          <w:sz w:val="22"/>
          <w:szCs w:val="22"/>
        </w:rPr>
        <w:t xml:space="preserve">new </w:t>
      </w:r>
      <w:r>
        <w:rPr>
          <w:sz w:val="22"/>
          <w:szCs w:val="22"/>
        </w:rPr>
        <w:t>labelling requirements to clarify the intended end user of</w:t>
      </w:r>
      <w:r w:rsidR="00F30226">
        <w:rPr>
          <w:sz w:val="22"/>
          <w:szCs w:val="22"/>
        </w:rPr>
        <w:t xml:space="preserve"> electrolyte drinks </w:t>
      </w:r>
      <w:r>
        <w:rPr>
          <w:sz w:val="22"/>
          <w:szCs w:val="22"/>
        </w:rPr>
        <w:t xml:space="preserve">to better assist consumers to make informed </w:t>
      </w:r>
      <w:r>
        <w:rPr>
          <w:sz w:val="22"/>
          <w:szCs w:val="22"/>
        </w:rPr>
        <w:lastRenderedPageBreak/>
        <w:t xml:space="preserve">choices. These include requiring </w:t>
      </w:r>
      <w:r w:rsidR="00FF67DB">
        <w:rPr>
          <w:sz w:val="22"/>
          <w:szCs w:val="22"/>
        </w:rPr>
        <w:t xml:space="preserve">permitted </w:t>
      </w:r>
      <w:r w:rsidR="00B95D66">
        <w:rPr>
          <w:sz w:val="22"/>
          <w:szCs w:val="22"/>
        </w:rPr>
        <w:t xml:space="preserve">health </w:t>
      </w:r>
      <w:r>
        <w:rPr>
          <w:sz w:val="22"/>
          <w:szCs w:val="22"/>
        </w:rPr>
        <w:t>claims to</w:t>
      </w:r>
      <w:r w:rsidR="00790DFF">
        <w:rPr>
          <w:sz w:val="22"/>
          <w:szCs w:val="22"/>
        </w:rPr>
        <w:t xml:space="preserve"> </w:t>
      </w:r>
      <w:r w:rsidR="004F57CF">
        <w:rPr>
          <w:sz w:val="22"/>
          <w:szCs w:val="22"/>
        </w:rPr>
        <w:t>refer to</w:t>
      </w:r>
      <w:r w:rsidR="00790DFF">
        <w:rPr>
          <w:sz w:val="22"/>
          <w:szCs w:val="22"/>
        </w:rPr>
        <w:t xml:space="preserve"> </w:t>
      </w:r>
      <w:r w:rsidRPr="00B95D66">
        <w:rPr>
          <w:i/>
          <w:sz w:val="22"/>
          <w:szCs w:val="22"/>
        </w:rPr>
        <w:t>strenuous physical activity</w:t>
      </w:r>
      <w:r>
        <w:rPr>
          <w:sz w:val="22"/>
          <w:szCs w:val="22"/>
        </w:rPr>
        <w:t xml:space="preserve"> and to a minimum time period of 60 minutes. </w:t>
      </w:r>
    </w:p>
    <w:p w14:paraId="07D7CE77" w14:textId="065C872E" w:rsidR="001077BB" w:rsidRPr="00914030" w:rsidRDefault="001077BB" w:rsidP="00424BD1">
      <w:pPr>
        <w:pStyle w:val="Heading4"/>
        <w:widowControl/>
        <w:spacing w:before="120" w:after="120"/>
        <w:rPr>
          <w:lang w:eastAsia="en-AU"/>
        </w:rPr>
      </w:pPr>
      <w:r>
        <w:rPr>
          <w:lang w:eastAsia="en-AU"/>
        </w:rPr>
        <w:t>2.</w:t>
      </w:r>
      <w:r w:rsidR="00266754">
        <w:rPr>
          <w:lang w:eastAsia="en-AU"/>
        </w:rPr>
        <w:t>6</w:t>
      </w:r>
      <w:r>
        <w:rPr>
          <w:lang w:eastAsia="en-AU"/>
        </w:rPr>
        <w:t>.2.</w:t>
      </w:r>
      <w:r w:rsidRPr="00914030">
        <w:rPr>
          <w:lang w:eastAsia="en-AU"/>
        </w:rPr>
        <w:t>3</w:t>
      </w:r>
      <w:r w:rsidRPr="00914030">
        <w:rPr>
          <w:lang w:eastAsia="en-AU"/>
        </w:rPr>
        <w:tab/>
        <w:t>The prevention of misleading or deceptive conduct</w:t>
      </w:r>
    </w:p>
    <w:p w14:paraId="1874498C" w14:textId="08D4D401" w:rsidR="00D74C34" w:rsidRPr="009A749B" w:rsidRDefault="00F84E06">
      <w:pPr>
        <w:widowControl/>
        <w:spacing w:before="120" w:after="120"/>
      </w:pPr>
      <w:r>
        <w:t xml:space="preserve">FSANZ considers that provisions in the </w:t>
      </w:r>
      <w:r w:rsidR="00B537D2">
        <w:t xml:space="preserve">example </w:t>
      </w:r>
      <w:r>
        <w:t xml:space="preserve">amended draft variation, as discussed above in this </w:t>
      </w:r>
      <w:r w:rsidR="00417F12">
        <w:t>C</w:t>
      </w:r>
      <w:r>
        <w:t>onsultation paper, would assist in achieving this objective</w:t>
      </w:r>
      <w:r w:rsidR="0052563A">
        <w:t>.</w:t>
      </w:r>
      <w:r>
        <w:t xml:space="preserve"> </w:t>
      </w:r>
    </w:p>
    <w:p w14:paraId="2B5D92C6" w14:textId="13360FE0" w:rsidR="001077BB" w:rsidRPr="00914030" w:rsidRDefault="001077BB" w:rsidP="00424BD1">
      <w:pPr>
        <w:pStyle w:val="Heading3"/>
        <w:widowControl/>
        <w:spacing w:before="120" w:after="120"/>
      </w:pPr>
      <w:bookmarkStart w:id="274" w:name="_Toc425174944"/>
      <w:bookmarkStart w:id="275" w:name="_Toc60825020"/>
      <w:bookmarkStart w:id="276" w:name="_Toc61442324"/>
      <w:bookmarkStart w:id="277" w:name="_Toc61449868"/>
      <w:bookmarkStart w:id="278" w:name="_Toc63342512"/>
      <w:bookmarkStart w:id="279" w:name="_Toc71711651"/>
      <w:bookmarkStart w:id="280" w:name="_Toc72673585"/>
      <w:r>
        <w:t>2.</w:t>
      </w:r>
      <w:r w:rsidR="00266754">
        <w:t>6</w:t>
      </w:r>
      <w:r>
        <w:t>.3</w:t>
      </w:r>
      <w:r w:rsidRPr="00914030">
        <w:tab/>
        <w:t>Subsection 18(2) considerations</w:t>
      </w:r>
      <w:bookmarkEnd w:id="274"/>
      <w:bookmarkEnd w:id="275"/>
      <w:bookmarkEnd w:id="276"/>
      <w:bookmarkEnd w:id="277"/>
      <w:bookmarkEnd w:id="278"/>
      <w:bookmarkEnd w:id="279"/>
      <w:bookmarkEnd w:id="280"/>
    </w:p>
    <w:p w14:paraId="3FD46E34" w14:textId="77777777" w:rsidR="001077BB" w:rsidRPr="00914030" w:rsidRDefault="001077BB" w:rsidP="00424BD1">
      <w:pPr>
        <w:widowControl/>
        <w:spacing w:before="120" w:after="120"/>
        <w:rPr>
          <w:rFonts w:cs="Arial"/>
        </w:rPr>
      </w:pPr>
      <w:r w:rsidRPr="00914030">
        <w:rPr>
          <w:rFonts w:cs="Arial"/>
        </w:rPr>
        <w:t>FSANZ has also had regard to:</w:t>
      </w:r>
    </w:p>
    <w:p w14:paraId="039F9089" w14:textId="77777777" w:rsidR="001077BB" w:rsidRPr="00E54231" w:rsidRDefault="001077BB" w:rsidP="00424BD1">
      <w:pPr>
        <w:pStyle w:val="FSBullet1"/>
        <w:spacing w:before="120" w:after="120"/>
        <w:rPr>
          <w:b/>
        </w:rPr>
      </w:pPr>
      <w:r w:rsidRPr="00E54231">
        <w:rPr>
          <w:b/>
        </w:rPr>
        <w:t>the need for standards to be based on risk analysis using the best available scientific evidence</w:t>
      </w:r>
    </w:p>
    <w:p w14:paraId="77A4314B" w14:textId="67D5E687" w:rsidR="00E16706" w:rsidRDefault="00E16706" w:rsidP="00424BD1">
      <w:pPr>
        <w:widowControl/>
        <w:spacing w:before="120" w:after="120"/>
      </w:pPr>
      <w:r w:rsidRPr="003365A4">
        <w:t xml:space="preserve">FSANZ considered the best available scientific evidence </w:t>
      </w:r>
      <w:r w:rsidR="00A459E2">
        <w:t>(</w:t>
      </w:r>
      <w:r w:rsidR="00685DF7">
        <w:t>see</w:t>
      </w:r>
      <w:r w:rsidR="00A459E2" w:rsidDel="00EC11CC">
        <w:t xml:space="preserve"> </w:t>
      </w:r>
      <w:r w:rsidR="00EC11CC">
        <w:t xml:space="preserve">Section </w:t>
      </w:r>
      <w:r w:rsidR="00A459E2">
        <w:t xml:space="preserve">2.2 </w:t>
      </w:r>
      <w:r w:rsidR="00EC11CC">
        <w:t xml:space="preserve">of this </w:t>
      </w:r>
      <w:r w:rsidR="00417F12">
        <w:t>C</w:t>
      </w:r>
      <w:r w:rsidR="00267AC2">
        <w:t>onsultation paper</w:t>
      </w:r>
      <w:r w:rsidR="00EC11CC">
        <w:t xml:space="preserve"> </w:t>
      </w:r>
      <w:r w:rsidR="00A459E2">
        <w:t xml:space="preserve">and SD1) </w:t>
      </w:r>
      <w:r w:rsidR="00685DF7">
        <w:t xml:space="preserve">in </w:t>
      </w:r>
      <w:r w:rsidR="00A56338">
        <w:t xml:space="preserve">relation to all measures proposed in the </w:t>
      </w:r>
      <w:r w:rsidR="00B840C7">
        <w:t xml:space="preserve">example </w:t>
      </w:r>
      <w:r w:rsidR="00A56338">
        <w:t>amended draft variation</w:t>
      </w:r>
      <w:r>
        <w:t>.</w:t>
      </w:r>
      <w:r w:rsidR="00A56338">
        <w:t xml:space="preserve"> These measures include </w:t>
      </w:r>
      <w:r w:rsidR="00A56338" w:rsidRPr="00A56338">
        <w:t>revising the composition and labelling requirements for electrolyte drinks</w:t>
      </w:r>
      <w:r w:rsidR="00A56338">
        <w:t xml:space="preserve">; and revising the </w:t>
      </w:r>
      <w:r w:rsidR="00A56338" w:rsidRPr="00A56338">
        <w:t>requirements and limitations for nutrition content claims and health claims that may be made in relation to electrolyte drinks</w:t>
      </w:r>
      <w:r w:rsidR="00A56338">
        <w:t>.</w:t>
      </w:r>
    </w:p>
    <w:p w14:paraId="656DDD6F" w14:textId="77777777" w:rsidR="001077BB" w:rsidRPr="00E54231" w:rsidRDefault="001077BB" w:rsidP="00424BD1">
      <w:pPr>
        <w:pStyle w:val="FSBullet1"/>
        <w:spacing w:before="120" w:after="120"/>
        <w:rPr>
          <w:b/>
        </w:rPr>
      </w:pPr>
      <w:r w:rsidRPr="00E54231">
        <w:rPr>
          <w:b/>
        </w:rPr>
        <w:t>the promotion of consistency between domestic and international food standards</w:t>
      </w:r>
    </w:p>
    <w:p w14:paraId="7C7F15AB" w14:textId="00ED3601" w:rsidR="001077BB" w:rsidRPr="00AC38C9" w:rsidRDefault="00FB41DB" w:rsidP="00424BD1">
      <w:pPr>
        <w:widowControl/>
        <w:spacing w:before="120" w:after="120"/>
      </w:pPr>
      <w:r>
        <w:t>There are no Codex</w:t>
      </w:r>
      <w:r w:rsidR="001A5A3D">
        <w:t>, EU or US</w:t>
      </w:r>
      <w:r>
        <w:t xml:space="preserve"> </w:t>
      </w:r>
      <w:r w:rsidR="001A5A3D">
        <w:t xml:space="preserve">commodity </w:t>
      </w:r>
      <w:r>
        <w:t>standards for the regulation of electrolyte drinks</w:t>
      </w:r>
      <w:r w:rsidR="00A459E2">
        <w:t>.</w:t>
      </w:r>
      <w:r w:rsidR="001A5A3D">
        <w:t xml:space="preserve"> </w:t>
      </w:r>
    </w:p>
    <w:p w14:paraId="72A82D9F" w14:textId="77777777" w:rsidR="001077BB" w:rsidRPr="00E54231" w:rsidRDefault="001077BB" w:rsidP="00424BD1">
      <w:pPr>
        <w:pStyle w:val="FSBullet1"/>
        <w:spacing w:before="120" w:after="120"/>
        <w:rPr>
          <w:b/>
        </w:rPr>
      </w:pPr>
      <w:r w:rsidRPr="00E54231">
        <w:rPr>
          <w:b/>
        </w:rPr>
        <w:t>the desirability of an efficient and internationally competitive food industry</w:t>
      </w:r>
    </w:p>
    <w:p w14:paraId="1BA38714" w14:textId="5D73E052" w:rsidR="009B2148" w:rsidRDefault="001046B4" w:rsidP="009B2148">
      <w:pPr>
        <w:widowControl/>
        <w:spacing w:before="120" w:after="120"/>
      </w:pPr>
      <w:r>
        <w:t xml:space="preserve">Reducing the minimum </w:t>
      </w:r>
      <w:r w:rsidR="00953F41">
        <w:t xml:space="preserve">carbohydrate </w:t>
      </w:r>
      <w:r w:rsidR="009B2148">
        <w:t>compositional requirement</w:t>
      </w:r>
      <w:r>
        <w:t xml:space="preserve"> and extending the permission for (amended) health claims </w:t>
      </w:r>
      <w:r w:rsidR="00FB41DB">
        <w:t xml:space="preserve">to </w:t>
      </w:r>
      <w:r w:rsidR="009B2148">
        <w:t xml:space="preserve">electrolyte drinks </w:t>
      </w:r>
      <w:r>
        <w:t>with the lower</w:t>
      </w:r>
      <w:r w:rsidR="00953F41">
        <w:t xml:space="preserve"> carbohydrate</w:t>
      </w:r>
      <w:r>
        <w:t xml:space="preserve"> content and </w:t>
      </w:r>
      <w:r w:rsidR="00FB41DB">
        <w:t xml:space="preserve">including </w:t>
      </w:r>
      <w:r>
        <w:t xml:space="preserve">hypotonic </w:t>
      </w:r>
      <w:r w:rsidR="009B2148">
        <w:t>electrolyte drink</w:t>
      </w:r>
      <w:r>
        <w:t>s</w:t>
      </w:r>
      <w:r w:rsidR="009B2148">
        <w:t>,</w:t>
      </w:r>
      <w:r>
        <w:t xml:space="preserve"> in addition to isotonic</w:t>
      </w:r>
      <w:r w:rsidR="009B2148">
        <w:t>,</w:t>
      </w:r>
      <w:r>
        <w:t xml:space="preserve"> will remove potential barriers to internationally traded </w:t>
      </w:r>
      <w:r w:rsidR="00953F41">
        <w:t>electrolyte drinks</w:t>
      </w:r>
      <w:r>
        <w:t xml:space="preserve">.  </w:t>
      </w:r>
    </w:p>
    <w:p w14:paraId="356BF92F" w14:textId="77777777" w:rsidR="001077BB" w:rsidRPr="00E54231" w:rsidRDefault="001077BB" w:rsidP="009B2148">
      <w:pPr>
        <w:widowControl/>
        <w:spacing w:before="120" w:after="120"/>
        <w:rPr>
          <w:b/>
        </w:rPr>
      </w:pPr>
      <w:r w:rsidRPr="00E54231">
        <w:rPr>
          <w:b/>
        </w:rPr>
        <w:t>the promotion of fair trading in food</w:t>
      </w:r>
    </w:p>
    <w:p w14:paraId="0430E702" w14:textId="070610EC" w:rsidR="00311343" w:rsidRDefault="00C77267" w:rsidP="00424BD1">
      <w:pPr>
        <w:widowControl/>
        <w:spacing w:before="120" w:after="120"/>
      </w:pPr>
      <w:r>
        <w:t>FSANZ considers that its modified approach</w:t>
      </w:r>
      <w:r w:rsidR="00311343">
        <w:t xml:space="preserve"> </w:t>
      </w:r>
      <w:r w:rsidR="00DE1CE3">
        <w:t xml:space="preserve">would </w:t>
      </w:r>
      <w:r w:rsidR="00311343">
        <w:t>support fair trading by permitting</w:t>
      </w:r>
      <w:r w:rsidR="00F30226">
        <w:t xml:space="preserve"> electrolyte drinks </w:t>
      </w:r>
      <w:r w:rsidR="00311343">
        <w:t xml:space="preserve">to </w:t>
      </w:r>
      <w:r w:rsidR="00790DFF">
        <w:t xml:space="preserve">only </w:t>
      </w:r>
      <w:r w:rsidR="00311343">
        <w:t xml:space="preserve">carry </w:t>
      </w:r>
      <w:r w:rsidR="0052749B">
        <w:t>specified</w:t>
      </w:r>
      <w:r w:rsidR="00311343">
        <w:t xml:space="preserve"> claims that </w:t>
      </w:r>
      <w:r w:rsidR="00FE158A">
        <w:t>are consistent with</w:t>
      </w:r>
      <w:r w:rsidR="00311343">
        <w:t xml:space="preserve"> their intended purpose</w:t>
      </w:r>
      <w:r w:rsidR="00311343" w:rsidRPr="00A459E2">
        <w:t xml:space="preserve">. </w:t>
      </w:r>
    </w:p>
    <w:p w14:paraId="0EC3D453" w14:textId="77777777" w:rsidR="00953F41" w:rsidRPr="00A459E2" w:rsidRDefault="00953F41" w:rsidP="00424BD1">
      <w:pPr>
        <w:widowControl/>
        <w:spacing w:before="120" w:after="120"/>
      </w:pPr>
    </w:p>
    <w:p w14:paraId="3C663DBE" w14:textId="77777777" w:rsidR="001077BB" w:rsidRPr="00E54231" w:rsidRDefault="001077BB" w:rsidP="00424BD1">
      <w:pPr>
        <w:pStyle w:val="FSBullet1"/>
        <w:spacing w:before="120" w:after="120"/>
        <w:rPr>
          <w:b/>
        </w:rPr>
      </w:pPr>
      <w:r w:rsidRPr="00E54231">
        <w:rPr>
          <w:b/>
        </w:rPr>
        <w:t>any written policy guidelines formulated by the Forum on Food Regulation</w:t>
      </w:r>
    </w:p>
    <w:p w14:paraId="270F539E" w14:textId="09705013" w:rsidR="007F5095" w:rsidRDefault="00A459E2" w:rsidP="00424BD1">
      <w:pPr>
        <w:widowControl/>
        <w:spacing w:before="120" w:after="120"/>
      </w:pPr>
      <w:r>
        <w:rPr>
          <w:lang w:val="en"/>
        </w:rPr>
        <w:t xml:space="preserve">The </w:t>
      </w:r>
      <w:r w:rsidR="007F5095">
        <w:rPr>
          <w:lang w:val="en"/>
        </w:rPr>
        <w:t>Ministerial policy guideline</w:t>
      </w:r>
      <w:r w:rsidR="007F5095" w:rsidRPr="00270138">
        <w:rPr>
          <w:lang w:val="en"/>
        </w:rPr>
        <w:t xml:space="preserve"> </w:t>
      </w:r>
      <w:r>
        <w:rPr>
          <w:lang w:val="en"/>
        </w:rPr>
        <w:t xml:space="preserve">on </w:t>
      </w:r>
      <w:r>
        <w:t>Nutrition, H</w:t>
      </w:r>
      <w:r w:rsidRPr="00A43FE2">
        <w:t xml:space="preserve">ealth and </w:t>
      </w:r>
      <w:r>
        <w:t>R</w:t>
      </w:r>
      <w:r w:rsidRPr="00A43FE2">
        <w:t xml:space="preserve">elated </w:t>
      </w:r>
      <w:r>
        <w:t>C</w:t>
      </w:r>
      <w:r w:rsidRPr="00A43FE2">
        <w:t>laim</w:t>
      </w:r>
      <w:r w:rsidR="004131E2">
        <w:t>s</w:t>
      </w:r>
      <w:r w:rsidR="004131E2" w:rsidRPr="004131E2">
        <w:rPr>
          <w:vertAlign w:val="superscript"/>
        </w:rPr>
        <w:fldChar w:fldCharType="begin"/>
      </w:r>
      <w:r w:rsidR="004131E2" w:rsidRPr="004131E2">
        <w:rPr>
          <w:vertAlign w:val="superscript"/>
        </w:rPr>
        <w:instrText xml:space="preserve"> NOTEREF _Ref62220487 \h </w:instrText>
      </w:r>
      <w:r w:rsidR="004131E2">
        <w:rPr>
          <w:vertAlign w:val="superscript"/>
        </w:rPr>
        <w:instrText xml:space="preserve"> \* MERGEFORMAT </w:instrText>
      </w:r>
      <w:r w:rsidR="004131E2" w:rsidRPr="004131E2">
        <w:rPr>
          <w:vertAlign w:val="superscript"/>
        </w:rPr>
      </w:r>
      <w:r w:rsidR="004131E2" w:rsidRPr="004131E2">
        <w:rPr>
          <w:vertAlign w:val="superscript"/>
        </w:rPr>
        <w:fldChar w:fldCharType="separate"/>
      </w:r>
      <w:r w:rsidR="00234D7E">
        <w:rPr>
          <w:vertAlign w:val="superscript"/>
        </w:rPr>
        <w:t>8</w:t>
      </w:r>
      <w:r w:rsidR="004131E2" w:rsidRPr="004131E2">
        <w:rPr>
          <w:vertAlign w:val="superscript"/>
        </w:rPr>
        <w:fldChar w:fldCharType="end"/>
      </w:r>
      <w:r>
        <w:t xml:space="preserve"> is </w:t>
      </w:r>
      <w:r w:rsidR="007F5095" w:rsidRPr="00A43FE2">
        <w:t xml:space="preserve">relevant </w:t>
      </w:r>
      <w:r>
        <w:t>to</w:t>
      </w:r>
      <w:r w:rsidR="007F5095" w:rsidRPr="00A43FE2">
        <w:t xml:space="preserve"> this </w:t>
      </w:r>
      <w:r w:rsidR="007F5095">
        <w:t>regulatory measure</w:t>
      </w:r>
      <w:r w:rsidR="002626F9">
        <w:t>.</w:t>
      </w:r>
      <w:r w:rsidR="007F5095">
        <w:t xml:space="preserve"> </w:t>
      </w:r>
    </w:p>
    <w:p w14:paraId="1681BB4B" w14:textId="41718307" w:rsidR="00290A42" w:rsidRDefault="00290A42" w:rsidP="00424BD1">
      <w:pPr>
        <w:widowControl/>
        <w:spacing w:before="120" w:after="120"/>
      </w:pPr>
      <w:r>
        <w:t xml:space="preserve">The new </w:t>
      </w:r>
      <w:r w:rsidR="00E54231">
        <w:t>proposed</w:t>
      </w:r>
      <w:r>
        <w:t xml:space="preserve"> provisions</w:t>
      </w:r>
      <w:r w:rsidR="00DE1CE3">
        <w:t xml:space="preserve"> would</w:t>
      </w:r>
      <w:r>
        <w:t xml:space="preserve"> allow certain nutrition content and health claims to be made about</w:t>
      </w:r>
      <w:r w:rsidR="00F30226">
        <w:t xml:space="preserve"> electrolyte drinks </w:t>
      </w:r>
      <w:r>
        <w:t xml:space="preserve">in accordance with </w:t>
      </w:r>
      <w:r w:rsidR="00A459E2">
        <w:t xml:space="preserve">specified </w:t>
      </w:r>
      <w:r>
        <w:t>conditions in Standards 2.6.2 and 1.2.7. The conditions in Standard 1.2.7 were developed under Proposal P293 with regard to th</w:t>
      </w:r>
      <w:r w:rsidR="0021335C">
        <w:t>at</w:t>
      </w:r>
      <w:r>
        <w:t xml:space="preserve"> </w:t>
      </w:r>
      <w:r w:rsidRPr="00EC7F52">
        <w:t>Policy Guideline</w:t>
      </w:r>
      <w:r w:rsidR="0021335C">
        <w:t xml:space="preserve">. </w:t>
      </w:r>
      <w:r>
        <w:t xml:space="preserve">FSANZ also </w:t>
      </w:r>
      <w:r w:rsidR="0021335C">
        <w:t>had regard to</w:t>
      </w:r>
      <w:r>
        <w:t xml:space="preserve"> this policy guideline when considering the specific conditions for nutrition content and health claims </w:t>
      </w:r>
      <w:r w:rsidR="0021335C">
        <w:t xml:space="preserve">proposed to be incorporated into Standard 2.6.2 </w:t>
      </w:r>
      <w:r>
        <w:t xml:space="preserve">under this </w:t>
      </w:r>
      <w:r w:rsidR="0064746C">
        <w:t>p</w:t>
      </w:r>
      <w:r w:rsidR="00780185">
        <w:t>roposal</w:t>
      </w:r>
      <w:r w:rsidR="00A459E2">
        <w:t>.</w:t>
      </w:r>
    </w:p>
    <w:p w14:paraId="5ECD59CA" w14:textId="27A31B9B" w:rsidR="001077BB" w:rsidRPr="00932F14" w:rsidRDefault="001077BB" w:rsidP="00424BD1">
      <w:pPr>
        <w:pStyle w:val="Heading1"/>
        <w:widowControl/>
        <w:spacing w:before="120" w:after="120"/>
      </w:pPr>
      <w:bookmarkStart w:id="281" w:name="_Toc425174945"/>
      <w:bookmarkStart w:id="282" w:name="_Toc60825021"/>
      <w:bookmarkStart w:id="283" w:name="_Toc61442325"/>
      <w:bookmarkStart w:id="284" w:name="_Toc61449869"/>
      <w:bookmarkStart w:id="285" w:name="_Toc63342513"/>
      <w:bookmarkStart w:id="286" w:name="_Toc71711652"/>
      <w:bookmarkStart w:id="287" w:name="_Toc72673586"/>
      <w:r>
        <w:lastRenderedPageBreak/>
        <w:t>3</w:t>
      </w:r>
      <w:r>
        <w:tab/>
        <w:t xml:space="preserve">Draft </w:t>
      </w:r>
      <w:r w:rsidRPr="007F5095">
        <w:t>variat</w:t>
      </w:r>
      <w:r>
        <w:t>ion</w:t>
      </w:r>
      <w:bookmarkEnd w:id="281"/>
      <w:bookmarkEnd w:id="282"/>
      <w:bookmarkEnd w:id="283"/>
      <w:bookmarkEnd w:id="284"/>
      <w:bookmarkEnd w:id="285"/>
      <w:bookmarkEnd w:id="286"/>
      <w:bookmarkEnd w:id="287"/>
    </w:p>
    <w:p w14:paraId="76DF9542" w14:textId="2802705D" w:rsidR="003F3482" w:rsidRPr="002E2693" w:rsidRDefault="003F3482" w:rsidP="00424BD1">
      <w:pPr>
        <w:widowControl/>
        <w:spacing w:before="120" w:after="120"/>
      </w:pPr>
      <w:bookmarkStart w:id="288" w:name="_Toc60825022"/>
      <w:bookmarkStart w:id="289" w:name="_Toc61442326"/>
      <w:bookmarkStart w:id="290" w:name="_Toc61449870"/>
      <w:bookmarkStart w:id="291" w:name="_Toc63342514"/>
      <w:bookmarkEnd w:id="288"/>
      <w:bookmarkEnd w:id="289"/>
      <w:bookmarkEnd w:id="290"/>
      <w:bookmarkEnd w:id="291"/>
      <w:r w:rsidRPr="002E2693">
        <w:t>Attachment A</w:t>
      </w:r>
      <w:r w:rsidR="00FC7B1D">
        <w:t xml:space="preserve"> provides an example</w:t>
      </w:r>
      <w:r w:rsidR="00211EEF">
        <w:t xml:space="preserve"> </w:t>
      </w:r>
      <w:r w:rsidR="00FC7B1D">
        <w:t xml:space="preserve">of how the draft variation prepared in 2014 could be amended to give effect to the modified approach described this paper </w:t>
      </w:r>
      <w:r w:rsidR="00C54F1E">
        <w:t xml:space="preserve">– the Example Amended Draft Variation. </w:t>
      </w:r>
    </w:p>
    <w:p w14:paraId="32BD32D6" w14:textId="39275EB9" w:rsidR="003F3482" w:rsidRPr="002E2693" w:rsidRDefault="003F3482" w:rsidP="00424BD1">
      <w:pPr>
        <w:widowControl/>
        <w:spacing w:before="120" w:after="120"/>
      </w:pPr>
      <w:r w:rsidRPr="002E2693">
        <w:t xml:space="preserve">A draft explanatory statement </w:t>
      </w:r>
      <w:r w:rsidR="001D4AA5">
        <w:t xml:space="preserve">for the </w:t>
      </w:r>
      <w:r w:rsidR="00393F45">
        <w:t>Example Amended Draft Variation</w:t>
      </w:r>
      <w:r w:rsidR="00393F45" w:rsidDel="00393F45">
        <w:t xml:space="preserve"> </w:t>
      </w:r>
      <w:r w:rsidRPr="002E2693">
        <w:t xml:space="preserve">is at Attachment B. An explanatory statement is required to accompany an instrument if it is lodged on the Federal Register of Legislative Instruments. </w:t>
      </w:r>
    </w:p>
    <w:p w14:paraId="0150BEE6" w14:textId="5EBE3F0D" w:rsidR="00F21DDD" w:rsidRPr="00EB0C7C" w:rsidRDefault="00F21DDD" w:rsidP="00424BD1">
      <w:pPr>
        <w:widowControl/>
        <w:spacing w:before="120" w:after="120"/>
      </w:pPr>
      <w:r w:rsidRPr="00EB0C7C">
        <w:t>Attachments C and D</w:t>
      </w:r>
      <w:r>
        <w:t xml:space="preserve"> provide the draft variation and explanatory statement </w:t>
      </w:r>
      <w:r w:rsidR="001D4AA5">
        <w:t xml:space="preserve">that FSANZ prepared for and </w:t>
      </w:r>
      <w:r>
        <w:t>at the call for submissions</w:t>
      </w:r>
      <w:r w:rsidR="00B32F9F">
        <w:t xml:space="preserve"> in 2014</w:t>
      </w:r>
      <w:r>
        <w:t xml:space="preserve">. </w:t>
      </w:r>
    </w:p>
    <w:p w14:paraId="0A8E87EB" w14:textId="70A8B104" w:rsidR="00F21DDD" w:rsidRPr="00F21DDD" w:rsidRDefault="00F21DDD" w:rsidP="00881C15">
      <w:pPr>
        <w:pStyle w:val="Heading3"/>
      </w:pPr>
      <w:bookmarkStart w:id="292" w:name="_Toc425174946"/>
      <w:bookmarkStart w:id="293" w:name="_Toc61442327"/>
      <w:bookmarkStart w:id="294" w:name="_Toc61449871"/>
      <w:bookmarkStart w:id="295" w:name="_Toc63342515"/>
      <w:bookmarkStart w:id="296" w:name="_Toc71711653"/>
      <w:bookmarkStart w:id="297" w:name="_Toc72673587"/>
      <w:r w:rsidRPr="00F21DDD">
        <w:t>3.</w:t>
      </w:r>
      <w:r w:rsidR="0019443C">
        <w:t>1</w:t>
      </w:r>
      <w:r w:rsidRPr="00F21DDD">
        <w:tab/>
        <w:t>Transitional arrangements</w:t>
      </w:r>
      <w:bookmarkEnd w:id="292"/>
      <w:bookmarkEnd w:id="293"/>
      <w:bookmarkEnd w:id="294"/>
      <w:bookmarkEnd w:id="295"/>
      <w:bookmarkEnd w:id="296"/>
      <w:bookmarkEnd w:id="297"/>
    </w:p>
    <w:p w14:paraId="714D4B9B" w14:textId="161A38A4" w:rsidR="00DC0F83" w:rsidRDefault="00951A67" w:rsidP="001D4AA5">
      <w:pPr>
        <w:widowControl/>
        <w:spacing w:before="120" w:after="120"/>
        <w:rPr>
          <w:rFonts w:cs="Arial"/>
          <w:color w:val="000000"/>
        </w:rPr>
      </w:pPr>
      <w:r>
        <w:t xml:space="preserve">If the proposed modified approach were adopted, FSANZ proposes also providing </w:t>
      </w:r>
      <w:r>
        <w:rPr>
          <w:rFonts w:cs="Arial"/>
          <w:color w:val="000000"/>
        </w:rPr>
        <w:t>a transitional arrangement</w:t>
      </w:r>
      <w:r w:rsidRPr="004C0DF9">
        <w:rPr>
          <w:rFonts w:cs="Arial"/>
          <w:color w:val="000000"/>
        </w:rPr>
        <w:t xml:space="preserve"> where</w:t>
      </w:r>
      <w:r>
        <w:rPr>
          <w:rFonts w:cs="Arial"/>
          <w:color w:val="000000"/>
        </w:rPr>
        <w:t>,</w:t>
      </w:r>
      <w:r w:rsidRPr="004C0DF9">
        <w:rPr>
          <w:rFonts w:cs="Arial"/>
          <w:color w:val="000000"/>
        </w:rPr>
        <w:t xml:space="preserve"> during </w:t>
      </w:r>
      <w:r>
        <w:rPr>
          <w:rFonts w:cs="Arial"/>
          <w:color w:val="000000"/>
        </w:rPr>
        <w:t>a 12 month</w:t>
      </w:r>
      <w:r w:rsidRPr="004C0DF9">
        <w:rPr>
          <w:rFonts w:cs="Arial"/>
          <w:color w:val="000000"/>
        </w:rPr>
        <w:t xml:space="preserve"> transition period commencing on the date of gazettal, </w:t>
      </w:r>
      <w:r w:rsidRPr="00CB7686">
        <w:t xml:space="preserve">an electrolyte drink </w:t>
      </w:r>
      <w:r w:rsidRPr="004C0DF9">
        <w:rPr>
          <w:rFonts w:cs="Arial"/>
          <w:color w:val="000000"/>
        </w:rPr>
        <w:t xml:space="preserve">may be sold if </w:t>
      </w:r>
      <w:r w:rsidRPr="00CB7686">
        <w:t xml:space="preserve">an electrolyte drink </w:t>
      </w:r>
      <w:r w:rsidRPr="004C0DF9">
        <w:rPr>
          <w:rFonts w:cs="Arial"/>
          <w:color w:val="000000"/>
        </w:rPr>
        <w:t xml:space="preserve">complies with either the Code as in force </w:t>
      </w:r>
      <w:r>
        <w:rPr>
          <w:rFonts w:cs="Arial"/>
          <w:color w:val="000000"/>
        </w:rPr>
        <w:t xml:space="preserve">prior to the </w:t>
      </w:r>
      <w:r>
        <w:t xml:space="preserve">modified approach </w:t>
      </w:r>
      <w:r>
        <w:rPr>
          <w:rFonts w:cs="Arial"/>
          <w:color w:val="000000"/>
        </w:rPr>
        <w:t>being implemented</w:t>
      </w:r>
      <w:r w:rsidRPr="004C0DF9">
        <w:rPr>
          <w:rFonts w:cs="Arial"/>
          <w:color w:val="000000"/>
        </w:rPr>
        <w:t xml:space="preserve">; or the Code as amended </w:t>
      </w:r>
      <w:r>
        <w:rPr>
          <w:rFonts w:cs="Arial"/>
          <w:color w:val="000000"/>
        </w:rPr>
        <w:t>to give effect to that approach</w:t>
      </w:r>
      <w:r w:rsidRPr="004C0DF9">
        <w:rPr>
          <w:rFonts w:cs="Arial"/>
          <w:color w:val="000000"/>
        </w:rPr>
        <w:t xml:space="preserve">. The intent </w:t>
      </w:r>
      <w:r>
        <w:rPr>
          <w:rFonts w:cs="Arial"/>
          <w:color w:val="000000"/>
        </w:rPr>
        <w:t>would be</w:t>
      </w:r>
      <w:r w:rsidRPr="004C0DF9">
        <w:rPr>
          <w:rFonts w:cs="Arial"/>
          <w:color w:val="000000"/>
        </w:rPr>
        <w:t xml:space="preserve"> </w:t>
      </w:r>
      <w:r>
        <w:rPr>
          <w:rFonts w:cs="Arial"/>
          <w:color w:val="000000"/>
        </w:rPr>
        <w:t xml:space="preserve">to provide a 12 month transitional arrangement that covers both stock-in-trade at the time of the commencement of the amendments, as well as </w:t>
      </w:r>
      <w:r w:rsidRPr="00CB7686">
        <w:t>electrolyte drink</w:t>
      </w:r>
      <w:r>
        <w:t>s</w:t>
      </w:r>
      <w:r w:rsidRPr="00CB7686">
        <w:t xml:space="preserve"> </w:t>
      </w:r>
      <w:r>
        <w:rPr>
          <w:rFonts w:cs="Arial"/>
          <w:color w:val="000000"/>
        </w:rPr>
        <w:t xml:space="preserve">that are </w:t>
      </w:r>
      <w:r>
        <w:rPr>
          <w:lang w:val="en-AU" w:eastAsia="en-GB"/>
        </w:rPr>
        <w:t xml:space="preserve">packaged, </w:t>
      </w:r>
      <w:r w:rsidRPr="00DE680A">
        <w:rPr>
          <w:lang w:val="en-AU" w:eastAsia="en-GB"/>
        </w:rPr>
        <w:t xml:space="preserve">labelled </w:t>
      </w:r>
      <w:r>
        <w:rPr>
          <w:lang w:val="en-AU" w:eastAsia="en-GB"/>
        </w:rPr>
        <w:t xml:space="preserve">and made available for sale </w:t>
      </w:r>
      <w:r w:rsidRPr="004C0DF9">
        <w:rPr>
          <w:lang w:val="en-AU" w:eastAsia="en-GB"/>
        </w:rPr>
        <w:t>before</w:t>
      </w:r>
      <w:r w:rsidRPr="00DE680A">
        <w:rPr>
          <w:lang w:val="en-AU" w:eastAsia="en-GB"/>
        </w:rPr>
        <w:t xml:space="preserve"> the end of the transition period</w:t>
      </w:r>
      <w:r w:rsidRPr="004C0DF9">
        <w:rPr>
          <w:rFonts w:cs="Arial"/>
          <w:color w:val="000000"/>
        </w:rPr>
        <w:t>.</w:t>
      </w:r>
    </w:p>
    <w:p w14:paraId="14030D5D" w14:textId="05BF8442" w:rsidR="003F3482" w:rsidRPr="00F21DDD" w:rsidRDefault="003F3482" w:rsidP="00951A67">
      <w:pPr>
        <w:pStyle w:val="Heading3"/>
        <w:widowControl/>
        <w:spacing w:before="120" w:after="120"/>
        <w:rPr>
          <w:color w:val="auto"/>
        </w:rPr>
      </w:pPr>
      <w:bookmarkStart w:id="298" w:name="_Toc60825023"/>
      <w:bookmarkStart w:id="299" w:name="_Toc61442328"/>
      <w:bookmarkStart w:id="300" w:name="_Toc61449872"/>
      <w:bookmarkStart w:id="301" w:name="_Toc63342516"/>
      <w:bookmarkStart w:id="302" w:name="_Toc71711654"/>
      <w:bookmarkStart w:id="303" w:name="_Toc72673588"/>
      <w:r w:rsidRPr="00F21DDD">
        <w:rPr>
          <w:color w:val="auto"/>
        </w:rPr>
        <w:t>3.</w:t>
      </w:r>
      <w:r w:rsidR="0019443C">
        <w:rPr>
          <w:color w:val="auto"/>
        </w:rPr>
        <w:t>2</w:t>
      </w:r>
      <w:r w:rsidRPr="00F21DDD">
        <w:rPr>
          <w:color w:val="auto"/>
        </w:rPr>
        <w:tab/>
        <w:t>Implementation and review</w:t>
      </w:r>
      <w:bookmarkEnd w:id="298"/>
      <w:bookmarkEnd w:id="299"/>
      <w:bookmarkEnd w:id="300"/>
      <w:bookmarkEnd w:id="301"/>
      <w:bookmarkEnd w:id="302"/>
      <w:bookmarkEnd w:id="303"/>
    </w:p>
    <w:p w14:paraId="54245BF6" w14:textId="3B8B1420" w:rsidR="003F3482" w:rsidRPr="002E2693" w:rsidRDefault="00951A67" w:rsidP="00951A67">
      <w:pPr>
        <w:widowControl/>
        <w:spacing w:before="120" w:after="120"/>
        <w:rPr>
          <w:rFonts w:cs="Arial"/>
        </w:rPr>
      </w:pPr>
      <w:r>
        <w:rPr>
          <w:rFonts w:cs="Arial"/>
        </w:rPr>
        <w:t xml:space="preserve">The amendments made as a result of this </w:t>
      </w:r>
      <w:r w:rsidR="0064746C">
        <w:rPr>
          <w:rFonts w:cs="Arial"/>
        </w:rPr>
        <w:t>p</w:t>
      </w:r>
      <w:r>
        <w:rPr>
          <w:rFonts w:cs="Arial"/>
        </w:rPr>
        <w:t>roposal could be</w:t>
      </w:r>
      <w:r w:rsidR="003F3482" w:rsidRPr="002E2693">
        <w:rPr>
          <w:rFonts w:cs="Arial"/>
        </w:rPr>
        <w:t xml:space="preserve"> </w:t>
      </w:r>
      <w:r w:rsidR="00224B51">
        <w:rPr>
          <w:rFonts w:cs="Arial"/>
        </w:rPr>
        <w:t xml:space="preserve">further considered under the </w:t>
      </w:r>
      <w:r w:rsidR="003F3482" w:rsidRPr="002E2693">
        <w:t>FSANZ review of Standard 2.9.4</w:t>
      </w:r>
      <w:r w:rsidR="003F3482" w:rsidRPr="002E2693">
        <w:rPr>
          <w:rFonts w:cs="Arial"/>
        </w:rPr>
        <w:t xml:space="preserve">. The variations </w:t>
      </w:r>
      <w:r w:rsidR="00780185">
        <w:rPr>
          <w:rFonts w:cs="Arial"/>
        </w:rPr>
        <w:t>are scheduled to</w:t>
      </w:r>
      <w:r w:rsidR="003F3482" w:rsidRPr="002E2693">
        <w:rPr>
          <w:rFonts w:cs="Arial"/>
        </w:rPr>
        <w:t xml:space="preserve"> be gazetted before the </w:t>
      </w:r>
      <w:r w:rsidR="00780185">
        <w:rPr>
          <w:rFonts w:cs="Arial"/>
        </w:rPr>
        <w:t>completion</w:t>
      </w:r>
      <w:r w:rsidR="003F3482" w:rsidRPr="002E2693">
        <w:rPr>
          <w:rFonts w:cs="Arial"/>
        </w:rPr>
        <w:t xml:space="preserve"> of the review of that Standard</w:t>
      </w:r>
      <w:r w:rsidR="00780185">
        <w:rPr>
          <w:rFonts w:cs="Arial"/>
        </w:rPr>
        <w:t xml:space="preserve"> in P1010</w:t>
      </w:r>
      <w:r w:rsidR="003F3482" w:rsidRPr="002E2693">
        <w:rPr>
          <w:rFonts w:cs="Arial"/>
        </w:rPr>
        <w:t xml:space="preserve">. </w:t>
      </w:r>
    </w:p>
    <w:p w14:paraId="1A813AEA" w14:textId="77777777" w:rsidR="00C129FC" w:rsidRDefault="001077BB" w:rsidP="00424BD1">
      <w:pPr>
        <w:pStyle w:val="Heading1"/>
        <w:widowControl/>
        <w:spacing w:before="120" w:after="120"/>
      </w:pPr>
      <w:bookmarkStart w:id="304" w:name="_Toc300933452"/>
      <w:bookmarkStart w:id="305" w:name="_Toc425174949"/>
      <w:bookmarkStart w:id="306" w:name="_Toc61442329"/>
      <w:bookmarkStart w:id="307" w:name="_Toc61449873"/>
      <w:bookmarkStart w:id="308" w:name="_Toc63342517"/>
      <w:bookmarkStart w:id="309" w:name="_Toc71711655"/>
      <w:bookmarkStart w:id="310" w:name="_Toc72673589"/>
      <w:bookmarkStart w:id="311" w:name="_Toc60825024"/>
      <w:r w:rsidRPr="00266754">
        <w:t>4</w:t>
      </w:r>
      <w:r w:rsidRPr="00266754">
        <w:tab/>
        <w:t>R</w:t>
      </w:r>
      <w:bookmarkEnd w:id="304"/>
      <w:r w:rsidRPr="00266754">
        <w:t>eferences</w:t>
      </w:r>
      <w:bookmarkEnd w:id="305"/>
      <w:bookmarkEnd w:id="306"/>
      <w:bookmarkEnd w:id="307"/>
      <w:bookmarkEnd w:id="308"/>
      <w:bookmarkEnd w:id="309"/>
      <w:bookmarkEnd w:id="310"/>
      <w:r w:rsidR="00266754">
        <w:t xml:space="preserve"> </w:t>
      </w:r>
    </w:p>
    <w:p w14:paraId="624FC891" w14:textId="618FD12F" w:rsidR="001077BB" w:rsidRPr="003B3B4A" w:rsidRDefault="00C129FC" w:rsidP="00C129FC">
      <w:pPr>
        <w:rPr>
          <w:rFonts w:cs="Arial"/>
          <w:b/>
          <w:szCs w:val="22"/>
        </w:rPr>
      </w:pPr>
      <w:r w:rsidRPr="003B3B4A">
        <w:rPr>
          <w:rFonts w:cs="Arial"/>
          <w:b/>
          <w:szCs w:val="22"/>
        </w:rPr>
        <w:t>Section</w:t>
      </w:r>
      <w:bookmarkEnd w:id="311"/>
      <w:r w:rsidR="003B3B4A" w:rsidRPr="003B3B4A">
        <w:rPr>
          <w:rFonts w:cs="Arial"/>
          <w:b/>
          <w:szCs w:val="22"/>
        </w:rPr>
        <w:t>s</w:t>
      </w:r>
      <w:r w:rsidRPr="003B3B4A">
        <w:rPr>
          <w:rFonts w:cs="Arial"/>
          <w:b/>
          <w:szCs w:val="22"/>
        </w:rPr>
        <w:t xml:space="preserve"> 1.</w:t>
      </w:r>
      <w:r w:rsidR="00494242" w:rsidRPr="003B3B4A">
        <w:rPr>
          <w:rFonts w:cs="Arial"/>
          <w:b/>
          <w:szCs w:val="22"/>
        </w:rPr>
        <w:t>5</w:t>
      </w:r>
      <w:r w:rsidR="003B3B4A" w:rsidRPr="003B3B4A">
        <w:rPr>
          <w:rFonts w:cs="Arial"/>
          <w:b/>
          <w:szCs w:val="22"/>
        </w:rPr>
        <w:t xml:space="preserve"> and 1.6</w:t>
      </w:r>
      <w:r w:rsidR="007C6E69">
        <w:rPr>
          <w:rFonts w:cs="Arial"/>
          <w:b/>
          <w:szCs w:val="22"/>
        </w:rPr>
        <w:t xml:space="preserve"> </w:t>
      </w:r>
      <w:r w:rsidR="007C6E69" w:rsidRPr="007C6E69">
        <w:rPr>
          <w:rFonts w:cs="Arial"/>
          <w:b/>
          <w:szCs w:val="22"/>
        </w:rPr>
        <w:t xml:space="preserve">of this </w:t>
      </w:r>
      <w:r w:rsidR="00417F12">
        <w:rPr>
          <w:rFonts w:cs="Arial"/>
          <w:b/>
          <w:szCs w:val="22"/>
        </w:rPr>
        <w:t>C</w:t>
      </w:r>
      <w:r w:rsidR="007C6E69" w:rsidRPr="007C6E69">
        <w:rPr>
          <w:rFonts w:cs="Arial"/>
          <w:b/>
          <w:szCs w:val="22"/>
        </w:rPr>
        <w:t>onsultation paper</w:t>
      </w:r>
    </w:p>
    <w:p w14:paraId="38043858" w14:textId="17E5B8A3" w:rsidR="00E77229" w:rsidRPr="003B3B4A" w:rsidRDefault="00E77229" w:rsidP="00A459E2">
      <w:pPr>
        <w:pStyle w:val="CitaviBibliography"/>
        <w:spacing w:before="120" w:after="120"/>
        <w:ind w:left="0" w:firstLine="0"/>
        <w:contextualSpacing/>
        <w:rPr>
          <w:rFonts w:ascii="Arial" w:eastAsiaTheme="minorHAnsi" w:hAnsi="Arial" w:cs="Arial"/>
          <w:sz w:val="22"/>
          <w:szCs w:val="22"/>
          <w:lang w:eastAsia="en-US"/>
        </w:rPr>
      </w:pPr>
      <w:r w:rsidRPr="003B3B4A">
        <w:rPr>
          <w:rFonts w:ascii="Arial" w:eastAsiaTheme="minorHAnsi" w:hAnsi="Arial" w:cs="Arial"/>
          <w:sz w:val="22"/>
          <w:szCs w:val="22"/>
          <w:lang w:eastAsia="en-US"/>
        </w:rPr>
        <w:t>Australian Bureau of Statistics (2014) National Nutrition and Physical Activity Survey, 2011–12, Basic CURF. Australian Government, Canberra. Available at:</w:t>
      </w:r>
    </w:p>
    <w:p w14:paraId="74CBD4C8" w14:textId="77777777" w:rsidR="002B132B" w:rsidRPr="00994EBF" w:rsidRDefault="00F42DD8" w:rsidP="002B132B">
      <w:pPr>
        <w:pStyle w:val="CitaviBibliography"/>
        <w:ind w:left="0" w:firstLine="0"/>
        <w:rPr>
          <w:rStyle w:val="Hyperlink"/>
          <w:rFonts w:eastAsiaTheme="minorHAnsi"/>
          <w:sz w:val="22"/>
          <w:szCs w:val="22"/>
          <w:lang w:eastAsia="en-US"/>
        </w:rPr>
      </w:pPr>
      <w:hyperlink r:id="rId23" w:history="1">
        <w:r w:rsidR="002B132B" w:rsidRPr="00994EBF">
          <w:rPr>
            <w:rStyle w:val="Hyperlink"/>
            <w:rFonts w:eastAsiaTheme="minorHAnsi"/>
            <w:sz w:val="22"/>
            <w:szCs w:val="22"/>
            <w:lang w:eastAsia="en-US"/>
          </w:rPr>
          <w:t>http://www.abs.gov.au/AUSSTATS/abs@.nsf/Latestproducts/4324.0.55.002Main%20Features652011-12?opendocument&amp;tabname=Summary&amp;prodno=4324.0.55.002&amp;issue=2011-12&amp;num=&amp;view</w:t>
        </w:r>
      </w:hyperlink>
      <w:r w:rsidR="002B132B" w:rsidRPr="00994EBF">
        <w:rPr>
          <w:rStyle w:val="Hyperlink"/>
          <w:rFonts w:eastAsiaTheme="minorHAnsi"/>
          <w:sz w:val="22"/>
          <w:szCs w:val="22"/>
          <w:lang w:eastAsia="en-US"/>
        </w:rPr>
        <w:t xml:space="preserve">= </w:t>
      </w:r>
    </w:p>
    <w:p w14:paraId="08ADFF75" w14:textId="77777777" w:rsidR="004F57CF" w:rsidRDefault="004F57CF" w:rsidP="00A459E2">
      <w:pPr>
        <w:pStyle w:val="CitaviBibliography"/>
        <w:spacing w:before="120" w:after="120"/>
        <w:ind w:left="0" w:firstLine="0"/>
        <w:contextualSpacing/>
        <w:rPr>
          <w:rFonts w:ascii="Arial" w:hAnsi="Arial" w:cs="Arial"/>
          <w:sz w:val="22"/>
          <w:szCs w:val="22"/>
        </w:rPr>
      </w:pPr>
    </w:p>
    <w:p w14:paraId="27AD4863" w14:textId="1501FF5B" w:rsidR="00E77229" w:rsidRPr="003B3B4A" w:rsidRDefault="00E77229" w:rsidP="00A459E2">
      <w:pPr>
        <w:pStyle w:val="CitaviBibliography"/>
        <w:spacing w:before="120" w:after="120"/>
        <w:ind w:left="0" w:firstLine="0"/>
        <w:rPr>
          <w:rFonts w:ascii="Arial" w:hAnsi="Arial" w:cs="Arial"/>
          <w:sz w:val="22"/>
          <w:szCs w:val="22"/>
        </w:rPr>
      </w:pPr>
      <w:r w:rsidRPr="003B3B4A">
        <w:rPr>
          <w:rFonts w:ascii="Arial" w:hAnsi="Arial" w:cs="Arial"/>
          <w:sz w:val="22"/>
          <w:szCs w:val="22"/>
        </w:rPr>
        <w:t>Australian Bureau of Statistics (2020) Apparent Consumption of Selected Foodstuffs [online]</w:t>
      </w:r>
      <w:r w:rsidR="00A459E2" w:rsidRPr="003B3B4A">
        <w:rPr>
          <w:rFonts w:ascii="Arial" w:hAnsi="Arial" w:cs="Arial"/>
          <w:sz w:val="22"/>
          <w:szCs w:val="22"/>
        </w:rPr>
        <w:t>.</w:t>
      </w:r>
      <w:r w:rsidRPr="003B3B4A">
        <w:rPr>
          <w:rFonts w:ascii="Arial" w:hAnsi="Arial" w:cs="Arial"/>
          <w:sz w:val="22"/>
          <w:szCs w:val="22"/>
        </w:rPr>
        <w:t xml:space="preserve"> Available at:</w:t>
      </w:r>
      <w:r w:rsidR="00A459E2" w:rsidRPr="003B3B4A">
        <w:rPr>
          <w:rFonts w:ascii="Arial" w:hAnsi="Arial" w:cs="Arial"/>
          <w:sz w:val="22"/>
          <w:szCs w:val="22"/>
        </w:rPr>
        <w:t xml:space="preserve"> </w:t>
      </w:r>
      <w:hyperlink r:id="rId24" w:history="1">
        <w:r w:rsidRPr="00994EBF">
          <w:rPr>
            <w:rStyle w:val="Hyperlink"/>
            <w:rFonts w:eastAsiaTheme="minorHAnsi"/>
            <w:sz w:val="22"/>
            <w:szCs w:val="22"/>
            <w:lang w:eastAsia="en-US"/>
          </w:rPr>
          <w:t>https://www.abs.gov.au/statistics/health/health-conditions-and-risks/apparent-consumption-selected-foodstuffs-australia/latest-release</w:t>
        </w:r>
      </w:hyperlink>
    </w:p>
    <w:p w14:paraId="5AE3089B" w14:textId="0790AE42" w:rsidR="00E77229" w:rsidRPr="003B3B4A" w:rsidRDefault="00E77229" w:rsidP="00494242">
      <w:pPr>
        <w:widowControl/>
        <w:autoSpaceDE w:val="0"/>
        <w:autoSpaceDN w:val="0"/>
        <w:adjustRightInd w:val="0"/>
        <w:spacing w:before="120" w:after="120"/>
        <w:contextualSpacing/>
        <w:rPr>
          <w:rFonts w:cs="Arial"/>
          <w:szCs w:val="22"/>
        </w:rPr>
      </w:pPr>
      <w:r w:rsidRPr="003B3B4A">
        <w:rPr>
          <w:rFonts w:cs="Arial"/>
          <w:szCs w:val="22"/>
        </w:rPr>
        <w:t xml:space="preserve">Euromonitor International (2018) Passport [online] Available at: </w:t>
      </w:r>
      <w:hyperlink r:id="rId25" w:history="1">
        <w:r w:rsidR="00A459E2" w:rsidRPr="003B3B4A">
          <w:rPr>
            <w:rStyle w:val="Hyperlink"/>
            <w:rFonts w:cs="Arial"/>
            <w:szCs w:val="22"/>
          </w:rPr>
          <w:t>https://www.portal.euromonitor.com/portal/magazine/homemain</w:t>
        </w:r>
      </w:hyperlink>
    </w:p>
    <w:p w14:paraId="52CE0237" w14:textId="77777777" w:rsidR="00E77229" w:rsidRPr="003B3B4A" w:rsidRDefault="00E77229" w:rsidP="00A459E2">
      <w:pPr>
        <w:widowControl/>
        <w:autoSpaceDE w:val="0"/>
        <w:autoSpaceDN w:val="0"/>
        <w:adjustRightInd w:val="0"/>
        <w:spacing w:before="120" w:after="120"/>
        <w:contextualSpacing/>
        <w:rPr>
          <w:rFonts w:cs="Arial"/>
          <w:szCs w:val="22"/>
        </w:rPr>
      </w:pPr>
    </w:p>
    <w:p w14:paraId="0A3A1160" w14:textId="77777777" w:rsidR="00796C8B" w:rsidRPr="003B3B4A" w:rsidRDefault="00796C8B" w:rsidP="00796C8B">
      <w:pPr>
        <w:rPr>
          <w:rFonts w:cs="Arial"/>
          <w:szCs w:val="22"/>
          <w:lang w:bidi="ar-SA"/>
        </w:rPr>
      </w:pPr>
      <w:r w:rsidRPr="003B3B4A">
        <w:rPr>
          <w:rFonts w:cs="Arial"/>
          <w:szCs w:val="22"/>
        </w:rPr>
        <w:t>FSANZ (2016) AUSNUT 2011-13 – Food Details File. Australian Government, Canberra.</w:t>
      </w:r>
    </w:p>
    <w:p w14:paraId="3F7C3C73" w14:textId="2C8EC1B7" w:rsidR="00796C8B" w:rsidRPr="003B3B4A" w:rsidRDefault="00F42DD8" w:rsidP="00796C8B">
      <w:pPr>
        <w:widowControl/>
        <w:autoSpaceDE w:val="0"/>
        <w:autoSpaceDN w:val="0"/>
        <w:adjustRightInd w:val="0"/>
        <w:spacing w:before="120" w:after="120"/>
        <w:contextualSpacing/>
        <w:rPr>
          <w:rFonts w:cs="Arial"/>
          <w:szCs w:val="22"/>
        </w:rPr>
      </w:pPr>
      <w:hyperlink r:id="rId26" w:history="1">
        <w:r w:rsidR="00796C8B" w:rsidRPr="003B3B4A">
          <w:rPr>
            <w:rStyle w:val="Hyperlink"/>
            <w:rFonts w:cs="Arial"/>
            <w:szCs w:val="22"/>
          </w:rPr>
          <w:t>https://www.foodstandards.gov.au/science/monitoringnutrients/ausnut/ausnutdatafiles/Pages/fooddetails.aspx</w:t>
        </w:r>
      </w:hyperlink>
    </w:p>
    <w:p w14:paraId="4437E500" w14:textId="64B76F2B" w:rsidR="00E77229" w:rsidRPr="003B3B4A" w:rsidRDefault="00E77229" w:rsidP="00424BD1">
      <w:pPr>
        <w:pStyle w:val="FSPagenumber"/>
        <w:spacing w:before="120" w:after="120"/>
        <w:jc w:val="left"/>
        <w:rPr>
          <w:rFonts w:cs="Arial"/>
          <w:sz w:val="22"/>
          <w:szCs w:val="22"/>
        </w:rPr>
      </w:pPr>
      <w:r w:rsidRPr="003B3B4A">
        <w:rPr>
          <w:rFonts w:cs="Arial"/>
          <w:sz w:val="22"/>
          <w:szCs w:val="22"/>
        </w:rPr>
        <w:t>G</w:t>
      </w:r>
      <w:r w:rsidR="00F8741C" w:rsidRPr="003B3B4A">
        <w:rPr>
          <w:rFonts w:cs="Arial"/>
          <w:sz w:val="22"/>
          <w:szCs w:val="22"/>
        </w:rPr>
        <w:t>lobal Data</w:t>
      </w:r>
      <w:r w:rsidRPr="003B3B4A">
        <w:rPr>
          <w:rFonts w:cs="Arial"/>
          <w:sz w:val="22"/>
          <w:szCs w:val="22"/>
        </w:rPr>
        <w:t xml:space="preserve"> </w:t>
      </w:r>
      <w:r w:rsidR="00F8741C" w:rsidRPr="003B3B4A">
        <w:rPr>
          <w:rFonts w:cs="Arial"/>
          <w:sz w:val="22"/>
          <w:szCs w:val="22"/>
        </w:rPr>
        <w:t>(</w:t>
      </w:r>
      <w:r w:rsidRPr="003B3B4A">
        <w:rPr>
          <w:rFonts w:cs="Arial"/>
          <w:sz w:val="22"/>
          <w:szCs w:val="22"/>
        </w:rPr>
        <w:t>2020</w:t>
      </w:r>
      <w:r w:rsidR="00F8741C" w:rsidRPr="003B3B4A">
        <w:rPr>
          <w:rFonts w:cs="Arial"/>
          <w:sz w:val="22"/>
          <w:szCs w:val="22"/>
        </w:rPr>
        <w:t>) Sports Drinks Brand Insight Report.</w:t>
      </w:r>
      <w:r w:rsidRPr="003B3B4A">
        <w:rPr>
          <w:rFonts w:cs="Arial"/>
          <w:sz w:val="22"/>
          <w:szCs w:val="22"/>
        </w:rPr>
        <w:t xml:space="preserve"> </w:t>
      </w:r>
    </w:p>
    <w:p w14:paraId="5B5010F3" w14:textId="023B4E3C" w:rsidR="0019347E" w:rsidRPr="003B3B4A" w:rsidRDefault="0019347E" w:rsidP="00F8741C">
      <w:pPr>
        <w:rPr>
          <w:rFonts w:cs="Arial"/>
          <w:szCs w:val="22"/>
        </w:rPr>
      </w:pPr>
      <w:r w:rsidRPr="003B3B4A">
        <w:rPr>
          <w:rFonts w:cs="Arial"/>
          <w:szCs w:val="22"/>
        </w:rPr>
        <w:t>Information Resources Incorporated (2020) Sports Drinks Market Share Data. Chicago, United States.</w:t>
      </w:r>
      <w:r w:rsidR="00F8741C" w:rsidRPr="003B3B4A">
        <w:rPr>
          <w:rFonts w:cs="Arial"/>
          <w:szCs w:val="22"/>
        </w:rPr>
        <w:t xml:space="preserve"> </w:t>
      </w:r>
      <w:hyperlink r:id="rId27" w:history="1">
        <w:r w:rsidRPr="003B3B4A">
          <w:rPr>
            <w:rStyle w:val="Hyperlink"/>
            <w:rFonts w:cs="Arial"/>
            <w:szCs w:val="22"/>
          </w:rPr>
          <w:t>https://www.iriworldwide.com/en-us</w:t>
        </w:r>
      </w:hyperlink>
      <w:r w:rsidRPr="003B3B4A">
        <w:rPr>
          <w:rFonts w:cs="Arial"/>
          <w:szCs w:val="22"/>
        </w:rPr>
        <w:t xml:space="preserve"> </w:t>
      </w:r>
    </w:p>
    <w:p w14:paraId="07A838C5" w14:textId="5ECFF993" w:rsidR="00E77229" w:rsidRPr="003B3B4A" w:rsidRDefault="00E77229" w:rsidP="00424BD1">
      <w:pPr>
        <w:widowControl/>
        <w:autoSpaceDE w:val="0"/>
        <w:autoSpaceDN w:val="0"/>
        <w:adjustRightInd w:val="0"/>
        <w:spacing w:before="120" w:after="120"/>
        <w:rPr>
          <w:rFonts w:cs="Arial"/>
          <w:szCs w:val="22"/>
        </w:rPr>
      </w:pPr>
      <w:r w:rsidRPr="003B3B4A">
        <w:rPr>
          <w:rFonts w:cs="Arial"/>
          <w:szCs w:val="22"/>
        </w:rPr>
        <w:lastRenderedPageBreak/>
        <w:t>Ministry of Health (2003) NZ Food NZ Children: Key results of the 2002 National Children’s Nutrition Survey. Wellington: Ministry of Health.</w:t>
      </w:r>
    </w:p>
    <w:p w14:paraId="3B69779B" w14:textId="14DE2DE9" w:rsidR="00E77229" w:rsidRPr="003B3B4A" w:rsidRDefault="00E77229" w:rsidP="00A459E2">
      <w:pPr>
        <w:widowControl/>
        <w:autoSpaceDE w:val="0"/>
        <w:autoSpaceDN w:val="0"/>
        <w:adjustRightInd w:val="0"/>
        <w:spacing w:before="120" w:after="120"/>
        <w:rPr>
          <w:rFonts w:eastAsiaTheme="minorHAnsi" w:cs="Arial"/>
          <w:szCs w:val="22"/>
        </w:rPr>
      </w:pPr>
      <w:r w:rsidRPr="003B3B4A">
        <w:rPr>
          <w:rFonts w:eastAsiaTheme="minorHAnsi" w:cs="Arial"/>
          <w:szCs w:val="22"/>
        </w:rPr>
        <w:t xml:space="preserve">University of Otago and Ministry of Health (2011) A Focus on Nutrition: Key findings of the 2008/09 New Zealand Adult Nutrition Survey. Wellington: Ministry of Health. Available at: </w:t>
      </w:r>
      <w:hyperlink r:id="rId28" w:history="1">
        <w:r w:rsidRPr="003B3B4A">
          <w:rPr>
            <w:rStyle w:val="Hyperlink"/>
            <w:rFonts w:eastAsiaTheme="minorHAnsi" w:cs="Arial"/>
            <w:szCs w:val="22"/>
          </w:rPr>
          <w:t>https://www.health.govt.nz/publication/focus-nutrition-key-findings-2008-09-nz-adult-nutrition-survey</w:t>
        </w:r>
      </w:hyperlink>
      <w:r w:rsidRPr="003B3B4A">
        <w:rPr>
          <w:rFonts w:eastAsiaTheme="minorHAnsi" w:cs="Arial"/>
          <w:szCs w:val="22"/>
        </w:rPr>
        <w:t xml:space="preserve"> </w:t>
      </w:r>
    </w:p>
    <w:p w14:paraId="1C120595" w14:textId="77777777" w:rsidR="002B132B" w:rsidRDefault="002B132B" w:rsidP="004541F0">
      <w:pPr>
        <w:rPr>
          <w:b/>
          <w:sz w:val="28"/>
          <w:szCs w:val="28"/>
        </w:rPr>
      </w:pPr>
      <w:bookmarkStart w:id="312" w:name="_Toc60825025"/>
    </w:p>
    <w:p w14:paraId="4101C33E" w14:textId="19E151BC" w:rsidR="00CC6AB0" w:rsidRPr="004541F0" w:rsidRDefault="0056363A" w:rsidP="004541F0">
      <w:pPr>
        <w:rPr>
          <w:b/>
          <w:sz w:val="28"/>
          <w:szCs w:val="28"/>
        </w:rPr>
      </w:pPr>
      <w:r w:rsidRPr="004541F0">
        <w:rPr>
          <w:b/>
          <w:sz w:val="28"/>
          <w:szCs w:val="28"/>
        </w:rPr>
        <w:t>Appendix</w:t>
      </w:r>
      <w:bookmarkEnd w:id="312"/>
    </w:p>
    <w:p w14:paraId="7F9E2E7D" w14:textId="77777777" w:rsidR="004541F0" w:rsidRDefault="004541F0" w:rsidP="004541F0"/>
    <w:p w14:paraId="449BF9E8" w14:textId="506DDF95" w:rsidR="00D016B8" w:rsidRDefault="000F4DDB" w:rsidP="004541F0">
      <w:bookmarkStart w:id="313" w:name="_Toc60825026"/>
      <w:r>
        <w:t>1</w:t>
      </w:r>
      <w:r w:rsidR="004D2DC3">
        <w:tab/>
      </w:r>
      <w:r w:rsidR="004D2DC3" w:rsidRPr="0056363A">
        <w:t>EU Health Claims</w:t>
      </w:r>
      <w:r w:rsidR="004D2DC3">
        <w:t xml:space="preserve"> </w:t>
      </w:r>
      <w:r w:rsidR="009A34DF">
        <w:t>for</w:t>
      </w:r>
      <w:r w:rsidR="004D2DC3">
        <w:t xml:space="preserve"> </w:t>
      </w:r>
      <w:r w:rsidR="004D2DC3" w:rsidRPr="00CC6AB0">
        <w:t>E</w:t>
      </w:r>
      <w:r w:rsidR="001221D2">
        <w:t xml:space="preserve">lectrolyte </w:t>
      </w:r>
      <w:r w:rsidR="004D2DC3" w:rsidRPr="00CC6AB0">
        <w:t>D</w:t>
      </w:r>
      <w:r w:rsidR="001221D2">
        <w:t>rink</w:t>
      </w:r>
      <w:r w:rsidR="004D2DC3" w:rsidRPr="00CC6AB0">
        <w:t>s</w:t>
      </w:r>
    </w:p>
    <w:p w14:paraId="2E5D55AA" w14:textId="77777777" w:rsidR="004D2DC3" w:rsidRDefault="004D2DC3" w:rsidP="004541F0">
      <w:pPr>
        <w:rPr>
          <w:b/>
          <w:sz w:val="28"/>
          <w:szCs w:val="28"/>
        </w:rPr>
      </w:pPr>
    </w:p>
    <w:p w14:paraId="6816E412" w14:textId="470DFF2F" w:rsidR="001077BB" w:rsidRPr="004541F0" w:rsidRDefault="001077BB" w:rsidP="004541F0">
      <w:pPr>
        <w:rPr>
          <w:b/>
          <w:sz w:val="28"/>
          <w:szCs w:val="28"/>
        </w:rPr>
      </w:pPr>
      <w:r w:rsidRPr="004541F0">
        <w:rPr>
          <w:b/>
          <w:sz w:val="28"/>
          <w:szCs w:val="28"/>
        </w:rPr>
        <w:t>Attachments</w:t>
      </w:r>
      <w:bookmarkEnd w:id="313"/>
    </w:p>
    <w:p w14:paraId="3BA09B05" w14:textId="781D1DC8" w:rsidR="00E03395" w:rsidRDefault="00E03395" w:rsidP="004541F0"/>
    <w:p w14:paraId="7EDB4C9C" w14:textId="65DEAF6C" w:rsidR="001077BB" w:rsidRPr="003C1602" w:rsidRDefault="001077BB" w:rsidP="004541F0">
      <w:r>
        <w:t>A.</w:t>
      </w:r>
      <w:r>
        <w:tab/>
      </w:r>
      <w:r w:rsidR="00393F45">
        <w:t xml:space="preserve">Example </w:t>
      </w:r>
      <w:r w:rsidR="00107CB3">
        <w:t xml:space="preserve">amended </w:t>
      </w:r>
      <w:r w:rsidR="00153194">
        <w:t xml:space="preserve">draft </w:t>
      </w:r>
      <w:r w:rsidRPr="003C1602">
        <w:t xml:space="preserve">variation to the Australia New Zealand Food Standards Code </w:t>
      </w:r>
    </w:p>
    <w:p w14:paraId="3E16EAE4" w14:textId="548F27AC" w:rsidR="001077BB" w:rsidRPr="003C1602" w:rsidRDefault="001077BB" w:rsidP="004541F0">
      <w:r w:rsidRPr="003C1602">
        <w:t>B.</w:t>
      </w:r>
      <w:r w:rsidRPr="003C1602">
        <w:tab/>
        <w:t xml:space="preserve">Explanatory Statement </w:t>
      </w:r>
      <w:r w:rsidR="001D4AA5">
        <w:t xml:space="preserve">for the </w:t>
      </w:r>
      <w:r w:rsidR="00393F45">
        <w:t xml:space="preserve">example </w:t>
      </w:r>
      <w:r w:rsidR="00107CB3">
        <w:t xml:space="preserve">amended </w:t>
      </w:r>
      <w:r w:rsidR="001D4AA5">
        <w:t>draft variation</w:t>
      </w:r>
    </w:p>
    <w:p w14:paraId="2B51483C" w14:textId="3A7EBE27" w:rsidR="00EB0C7C" w:rsidRDefault="00EB0C7C" w:rsidP="004541F0">
      <w:r w:rsidRPr="003C1602">
        <w:t>C</w:t>
      </w:r>
      <w:r w:rsidRPr="003C1602">
        <w:tab/>
        <w:t xml:space="preserve">Draft variation </w:t>
      </w:r>
      <w:r>
        <w:t xml:space="preserve">to the </w:t>
      </w:r>
      <w:r w:rsidRPr="000576EB">
        <w:t xml:space="preserve">Australia New </w:t>
      </w:r>
      <w:r>
        <w:t>Zealand Food Sta</w:t>
      </w:r>
      <w:r w:rsidRPr="000576EB">
        <w:t>n</w:t>
      </w:r>
      <w:r>
        <w:t>d</w:t>
      </w:r>
      <w:r w:rsidRPr="000576EB">
        <w:t>ards Code</w:t>
      </w:r>
      <w:r>
        <w:t xml:space="preserve"> at CFS</w:t>
      </w:r>
    </w:p>
    <w:p w14:paraId="684CED34" w14:textId="6E2EFF14" w:rsidR="00EB0C7C" w:rsidRDefault="00EB0C7C" w:rsidP="004541F0">
      <w:r>
        <w:t>D</w:t>
      </w:r>
      <w:r w:rsidRPr="00456BD5">
        <w:t>.</w:t>
      </w:r>
      <w:r w:rsidRPr="00456BD5">
        <w:tab/>
      </w:r>
      <w:r>
        <w:t>Draft Explanatory Statement at CFS</w:t>
      </w:r>
    </w:p>
    <w:p w14:paraId="103E0E2A" w14:textId="77777777" w:rsidR="001077BB" w:rsidRPr="00E203C2" w:rsidRDefault="001077BB" w:rsidP="004541F0"/>
    <w:p w14:paraId="3BFE8B7D" w14:textId="76314DA7" w:rsidR="0098705D" w:rsidRDefault="001077BB" w:rsidP="00424BD1">
      <w:pPr>
        <w:widowControl/>
        <w:spacing w:before="120" w:after="120"/>
        <w:rPr>
          <w:rFonts w:cs="Arial"/>
          <w:b/>
          <w:bCs/>
          <w:sz w:val="28"/>
          <w:szCs w:val="22"/>
          <w:lang w:bidi="ar-SA"/>
        </w:rPr>
      </w:pPr>
      <w:r w:rsidRPr="00932F14">
        <w:br w:type="page"/>
      </w:r>
    </w:p>
    <w:p w14:paraId="4CF7FC45" w14:textId="2F0F8290" w:rsidR="002017B8" w:rsidRPr="00C129FC" w:rsidRDefault="0098705D" w:rsidP="00DC0F83">
      <w:pPr>
        <w:pStyle w:val="Heading2"/>
        <w:ind w:left="0" w:firstLine="0"/>
      </w:pPr>
      <w:bookmarkStart w:id="314" w:name="_Toc60825028"/>
      <w:bookmarkStart w:id="315" w:name="_Toc61442331"/>
      <w:bookmarkStart w:id="316" w:name="_Toc61449875"/>
      <w:bookmarkStart w:id="317" w:name="_Toc63342519"/>
      <w:bookmarkStart w:id="318" w:name="_Toc71711656"/>
      <w:bookmarkStart w:id="319" w:name="_Toc72673590"/>
      <w:r>
        <w:lastRenderedPageBreak/>
        <w:t xml:space="preserve">Appendix </w:t>
      </w:r>
      <w:bookmarkStart w:id="320" w:name="_Toc60825029"/>
      <w:bookmarkEnd w:id="314"/>
      <w:r w:rsidR="001846B2">
        <w:t>1</w:t>
      </w:r>
      <w:r w:rsidR="001846B2" w:rsidRPr="002017B8">
        <w:t xml:space="preserve"> </w:t>
      </w:r>
      <w:r w:rsidR="002017B8">
        <w:t xml:space="preserve">– </w:t>
      </w:r>
      <w:r w:rsidR="002017B8" w:rsidRPr="00C129FC">
        <w:t>EU Health Claims for E</w:t>
      </w:r>
      <w:r w:rsidR="00A90A6E">
        <w:t>lectrolyte Drinks</w:t>
      </w:r>
      <w:bookmarkEnd w:id="315"/>
      <w:bookmarkEnd w:id="316"/>
      <w:bookmarkEnd w:id="317"/>
      <w:bookmarkEnd w:id="318"/>
      <w:bookmarkEnd w:id="320"/>
      <w:bookmarkEnd w:id="319"/>
    </w:p>
    <w:p w14:paraId="0C411A63" w14:textId="247021FE" w:rsidR="0056363A" w:rsidRPr="0029537F" w:rsidRDefault="0056363A" w:rsidP="00424BD1">
      <w:pPr>
        <w:pStyle w:val="Default"/>
        <w:spacing w:before="120" w:after="120"/>
        <w:rPr>
          <w:rFonts w:ascii="Arial" w:hAnsi="Arial" w:cs="Arial"/>
          <w:b/>
          <w:color w:val="auto"/>
          <w:sz w:val="22"/>
          <w:szCs w:val="20"/>
          <w:lang w:eastAsia="en-US" w:bidi="en-US"/>
        </w:rPr>
      </w:pPr>
      <w:r w:rsidRPr="0029537F">
        <w:rPr>
          <w:rFonts w:ascii="Arial" w:hAnsi="Arial" w:cs="Arial"/>
          <w:b/>
          <w:color w:val="auto"/>
          <w:sz w:val="22"/>
          <w:szCs w:val="20"/>
          <w:lang w:eastAsia="en-US" w:bidi="en-US"/>
        </w:rPr>
        <w:t xml:space="preserve">History </w:t>
      </w:r>
      <w:r>
        <w:rPr>
          <w:rFonts w:ascii="Arial" w:hAnsi="Arial" w:cs="Arial"/>
          <w:b/>
          <w:color w:val="auto"/>
          <w:sz w:val="22"/>
          <w:szCs w:val="20"/>
          <w:lang w:eastAsia="en-US" w:bidi="en-US"/>
        </w:rPr>
        <w:t>of incorporation of EU-</w:t>
      </w:r>
      <w:r w:rsidR="00234388">
        <w:rPr>
          <w:rFonts w:ascii="Arial" w:hAnsi="Arial" w:cs="Arial"/>
          <w:b/>
          <w:color w:val="auto"/>
          <w:sz w:val="22"/>
          <w:szCs w:val="20"/>
          <w:lang w:eastAsia="en-US" w:bidi="en-US"/>
        </w:rPr>
        <w:t xml:space="preserve">authorised </w:t>
      </w:r>
      <w:r>
        <w:rPr>
          <w:rFonts w:ascii="Arial" w:hAnsi="Arial" w:cs="Arial"/>
          <w:b/>
          <w:color w:val="auto"/>
          <w:sz w:val="22"/>
          <w:szCs w:val="20"/>
          <w:lang w:eastAsia="en-US" w:bidi="en-US"/>
        </w:rPr>
        <w:t>health claims into the Code</w:t>
      </w:r>
    </w:p>
    <w:p w14:paraId="44C7CCBE" w14:textId="18EFEC2C" w:rsidR="00527CD3" w:rsidRDefault="0056363A" w:rsidP="00424BD1">
      <w:pPr>
        <w:pStyle w:val="Default"/>
        <w:spacing w:before="120" w:after="120"/>
        <w:rPr>
          <w:rFonts w:ascii="Arial" w:hAnsi="Arial" w:cs="Arial"/>
          <w:color w:val="auto"/>
          <w:sz w:val="22"/>
          <w:szCs w:val="20"/>
          <w:lang w:eastAsia="en-US" w:bidi="en-US"/>
        </w:rPr>
      </w:pPr>
      <w:r w:rsidRPr="0029537F">
        <w:rPr>
          <w:rFonts w:ascii="Arial" w:hAnsi="Arial" w:cs="Arial"/>
          <w:color w:val="auto"/>
          <w:sz w:val="22"/>
          <w:szCs w:val="20"/>
          <w:lang w:eastAsia="en-US" w:bidi="en-US"/>
        </w:rPr>
        <w:t>As part of P293</w:t>
      </w:r>
      <w:r>
        <w:rPr>
          <w:rFonts w:ascii="Arial" w:hAnsi="Arial" w:cs="Arial"/>
          <w:color w:val="auto"/>
          <w:sz w:val="22"/>
          <w:szCs w:val="20"/>
          <w:lang w:eastAsia="en-US" w:bidi="en-US"/>
        </w:rPr>
        <w:t xml:space="preserve"> – Nutrition, health and related claims</w:t>
      </w:r>
      <w:r w:rsidRPr="0029537F">
        <w:rPr>
          <w:rFonts w:ascii="Arial" w:hAnsi="Arial" w:cs="Arial"/>
          <w:color w:val="auto"/>
          <w:sz w:val="22"/>
          <w:szCs w:val="20"/>
          <w:lang w:eastAsia="en-US" w:bidi="en-US"/>
        </w:rPr>
        <w:t xml:space="preserve">, </w:t>
      </w:r>
      <w:r>
        <w:rPr>
          <w:rFonts w:ascii="Arial" w:hAnsi="Arial" w:cs="Arial"/>
          <w:color w:val="auto"/>
          <w:sz w:val="22"/>
          <w:szCs w:val="20"/>
          <w:lang w:eastAsia="en-US" w:bidi="en-US"/>
        </w:rPr>
        <w:t>food health relationships based on</w:t>
      </w:r>
      <w:r w:rsidRPr="0029537F">
        <w:rPr>
          <w:rFonts w:ascii="Arial" w:hAnsi="Arial" w:cs="Arial"/>
          <w:color w:val="auto"/>
          <w:sz w:val="22"/>
          <w:szCs w:val="20"/>
          <w:lang w:eastAsia="en-US" w:bidi="en-US"/>
        </w:rPr>
        <w:t xml:space="preserve"> EU-approved health claims were incorporated into the new Standard 1.2.7, but </w:t>
      </w:r>
      <w:r w:rsidR="00527CD3">
        <w:rPr>
          <w:rFonts w:ascii="Arial" w:hAnsi="Arial" w:cs="Arial"/>
          <w:color w:val="auto"/>
          <w:sz w:val="22"/>
          <w:szCs w:val="20"/>
          <w:lang w:eastAsia="en-US" w:bidi="en-US"/>
        </w:rPr>
        <w:t xml:space="preserve">the following </w:t>
      </w:r>
      <w:r>
        <w:rPr>
          <w:rFonts w:ascii="Arial" w:hAnsi="Arial" w:cs="Arial"/>
          <w:color w:val="auto"/>
          <w:sz w:val="22"/>
          <w:szCs w:val="20"/>
          <w:lang w:eastAsia="en-US" w:bidi="en-US"/>
        </w:rPr>
        <w:t xml:space="preserve">two relating to </w:t>
      </w:r>
      <w:r w:rsidRPr="0029537F">
        <w:rPr>
          <w:rFonts w:ascii="Arial" w:hAnsi="Arial" w:cs="Arial"/>
          <w:color w:val="auto"/>
          <w:sz w:val="22"/>
          <w:szCs w:val="20"/>
          <w:lang w:eastAsia="en-US" w:bidi="en-US"/>
        </w:rPr>
        <w:t xml:space="preserve">carbohydrate electrolyte </w:t>
      </w:r>
      <w:r>
        <w:rPr>
          <w:rFonts w:ascii="Arial" w:hAnsi="Arial" w:cs="Arial"/>
          <w:color w:val="auto"/>
          <w:sz w:val="22"/>
          <w:szCs w:val="20"/>
          <w:lang w:eastAsia="en-US" w:bidi="en-US"/>
        </w:rPr>
        <w:t>solutions were not</w:t>
      </w:r>
      <w:r w:rsidR="00527CD3">
        <w:rPr>
          <w:rFonts w:ascii="Arial" w:hAnsi="Arial" w:cs="Arial"/>
          <w:color w:val="auto"/>
          <w:sz w:val="22"/>
          <w:szCs w:val="20"/>
          <w:lang w:eastAsia="en-US" w:bidi="en-US"/>
        </w:rPr>
        <w:t xml:space="preserve"> at that time:</w:t>
      </w:r>
    </w:p>
    <w:p w14:paraId="550CD06F" w14:textId="77777777" w:rsidR="00527CD3" w:rsidRPr="0029537F" w:rsidRDefault="00527CD3" w:rsidP="00527CD3">
      <w:pPr>
        <w:pStyle w:val="FSBullet1"/>
        <w:rPr>
          <w:szCs w:val="20"/>
          <w:lang w:bidi="en-US"/>
        </w:rPr>
      </w:pPr>
      <w:r w:rsidRPr="0029537F">
        <w:t xml:space="preserve">carbohydrate electrolyte solutions contribute to the maintenance of endurance performance during prolonged endurance exercise </w:t>
      </w:r>
    </w:p>
    <w:p w14:paraId="67A51813" w14:textId="77777777" w:rsidR="00527CD3" w:rsidRPr="0029537F" w:rsidRDefault="00527CD3" w:rsidP="00527CD3">
      <w:pPr>
        <w:pStyle w:val="FSBullet1"/>
        <w:rPr>
          <w:szCs w:val="20"/>
          <w:lang w:bidi="en-US"/>
        </w:rPr>
      </w:pPr>
      <w:r w:rsidRPr="0029537F">
        <w:t>carbohydrate electrolyte solutions enhance the absorption of water during physical exercise</w:t>
      </w:r>
      <w:r>
        <w:rPr>
          <w:szCs w:val="20"/>
          <w:lang w:bidi="en-US"/>
        </w:rPr>
        <w:t>.</w:t>
      </w:r>
    </w:p>
    <w:p w14:paraId="217E9BCF" w14:textId="2EA7AA0D" w:rsidR="0056363A" w:rsidRPr="0029537F" w:rsidRDefault="0056363A" w:rsidP="00424BD1">
      <w:pPr>
        <w:pStyle w:val="Default"/>
        <w:spacing w:before="120" w:after="120"/>
        <w:rPr>
          <w:rFonts w:ascii="Arial" w:hAnsi="Arial" w:cs="Arial"/>
          <w:color w:val="auto"/>
          <w:sz w:val="22"/>
          <w:szCs w:val="20"/>
          <w:lang w:eastAsia="en-US" w:bidi="en-US"/>
        </w:rPr>
      </w:pPr>
      <w:r w:rsidRPr="0029537F">
        <w:rPr>
          <w:rFonts w:ascii="Arial" w:hAnsi="Arial" w:cs="Arial"/>
          <w:color w:val="auto"/>
          <w:sz w:val="22"/>
          <w:szCs w:val="20"/>
          <w:lang w:eastAsia="en-US" w:bidi="en-US"/>
        </w:rPr>
        <w:t xml:space="preserve">These </w:t>
      </w:r>
      <w:r>
        <w:rPr>
          <w:rFonts w:ascii="Arial" w:hAnsi="Arial" w:cs="Arial"/>
          <w:color w:val="auto"/>
          <w:sz w:val="22"/>
          <w:szCs w:val="20"/>
          <w:lang w:eastAsia="en-US" w:bidi="en-US"/>
        </w:rPr>
        <w:t xml:space="preserve">two EU claims </w:t>
      </w:r>
      <w:r w:rsidRPr="0029537F">
        <w:rPr>
          <w:rFonts w:ascii="Arial" w:hAnsi="Arial" w:cs="Arial"/>
          <w:color w:val="auto"/>
          <w:sz w:val="22"/>
          <w:szCs w:val="20"/>
          <w:lang w:eastAsia="en-US" w:bidi="en-US"/>
        </w:rPr>
        <w:t xml:space="preserve">were deferred </w:t>
      </w:r>
      <w:r>
        <w:rPr>
          <w:rFonts w:ascii="Arial" w:hAnsi="Arial" w:cs="Arial"/>
          <w:color w:val="auto"/>
          <w:sz w:val="22"/>
          <w:szCs w:val="20"/>
          <w:lang w:eastAsia="en-US" w:bidi="en-US"/>
        </w:rPr>
        <w:t>for</w:t>
      </w:r>
      <w:r w:rsidRPr="0029537F">
        <w:rPr>
          <w:rFonts w:ascii="Arial" w:hAnsi="Arial" w:cs="Arial"/>
          <w:color w:val="auto"/>
          <w:sz w:val="22"/>
          <w:szCs w:val="20"/>
          <w:lang w:eastAsia="en-US" w:bidi="en-US"/>
        </w:rPr>
        <w:t xml:space="preserve"> further consider</w:t>
      </w:r>
      <w:r>
        <w:rPr>
          <w:rFonts w:ascii="Arial" w:hAnsi="Arial" w:cs="Arial"/>
          <w:color w:val="auto"/>
          <w:sz w:val="22"/>
          <w:szCs w:val="20"/>
          <w:lang w:eastAsia="en-US" w:bidi="en-US"/>
        </w:rPr>
        <w:t>ation</w:t>
      </w:r>
      <w:r w:rsidRPr="0029537F">
        <w:rPr>
          <w:rFonts w:ascii="Arial" w:hAnsi="Arial" w:cs="Arial"/>
          <w:color w:val="auto"/>
          <w:sz w:val="22"/>
          <w:szCs w:val="20"/>
          <w:lang w:eastAsia="en-US" w:bidi="en-US"/>
        </w:rPr>
        <w:t xml:space="preserve"> during the transition period for Standard 1.2.7 due to concerns about the differences in compositional conditions for the health claims and for </w:t>
      </w:r>
      <w:r w:rsidR="001221D2">
        <w:rPr>
          <w:rFonts w:ascii="Arial" w:hAnsi="Arial" w:cs="Arial"/>
          <w:color w:val="auto"/>
          <w:sz w:val="22"/>
          <w:szCs w:val="20"/>
          <w:lang w:eastAsia="en-US" w:bidi="en-US"/>
        </w:rPr>
        <w:t>electrolyte drink</w:t>
      </w:r>
      <w:r w:rsidRPr="0029537F">
        <w:rPr>
          <w:rFonts w:ascii="Arial" w:hAnsi="Arial" w:cs="Arial"/>
          <w:color w:val="auto"/>
          <w:sz w:val="22"/>
          <w:szCs w:val="20"/>
          <w:lang w:eastAsia="en-US" w:bidi="en-US"/>
        </w:rPr>
        <w:t>s, and the fact that most</w:t>
      </w:r>
      <w:r w:rsidR="00F30226">
        <w:rPr>
          <w:rFonts w:ascii="Arial" w:hAnsi="Arial" w:cs="Arial"/>
          <w:color w:val="auto"/>
          <w:sz w:val="22"/>
          <w:szCs w:val="20"/>
          <w:lang w:eastAsia="en-US" w:bidi="en-US"/>
        </w:rPr>
        <w:t xml:space="preserve"> electrolyte drinks </w:t>
      </w:r>
      <w:r>
        <w:rPr>
          <w:rFonts w:ascii="Arial" w:hAnsi="Arial" w:cs="Arial"/>
          <w:color w:val="auto"/>
          <w:sz w:val="22"/>
          <w:szCs w:val="20"/>
          <w:lang w:eastAsia="en-US" w:bidi="en-US"/>
        </w:rPr>
        <w:t>could not meet the NPSC</w:t>
      </w:r>
      <w:r w:rsidRPr="0029537F">
        <w:rPr>
          <w:rFonts w:ascii="Arial" w:hAnsi="Arial" w:cs="Arial"/>
          <w:color w:val="auto"/>
          <w:sz w:val="22"/>
          <w:szCs w:val="20"/>
          <w:lang w:eastAsia="en-US" w:bidi="en-US"/>
        </w:rPr>
        <w:t>, which is a requirement for making a health claim</w:t>
      </w:r>
      <w:r>
        <w:rPr>
          <w:rFonts w:ascii="Arial" w:hAnsi="Arial" w:cs="Arial"/>
          <w:color w:val="auto"/>
          <w:sz w:val="22"/>
          <w:szCs w:val="20"/>
          <w:lang w:eastAsia="en-US" w:bidi="en-US"/>
        </w:rPr>
        <w:t xml:space="preserve"> regulated by Standard 1.2.7</w:t>
      </w:r>
      <w:r w:rsidRPr="0029537F">
        <w:rPr>
          <w:rFonts w:ascii="Arial" w:hAnsi="Arial" w:cs="Arial"/>
          <w:color w:val="auto"/>
          <w:sz w:val="22"/>
          <w:szCs w:val="20"/>
          <w:lang w:eastAsia="en-US" w:bidi="en-US"/>
        </w:rPr>
        <w:t xml:space="preserve">.  </w:t>
      </w:r>
    </w:p>
    <w:p w14:paraId="4DABE857" w14:textId="2FB3274C" w:rsidR="0056363A" w:rsidRPr="003B36D8" w:rsidRDefault="0056363A" w:rsidP="00424BD1">
      <w:pPr>
        <w:pStyle w:val="Default"/>
        <w:spacing w:before="120" w:after="120"/>
        <w:rPr>
          <w:rFonts w:ascii="Arial" w:hAnsi="Arial" w:cs="Arial"/>
          <w:b/>
          <w:color w:val="auto"/>
          <w:sz w:val="22"/>
          <w:szCs w:val="20"/>
          <w:lang w:eastAsia="en-US" w:bidi="en-US"/>
        </w:rPr>
      </w:pPr>
      <w:r w:rsidRPr="003B36D8">
        <w:rPr>
          <w:rFonts w:ascii="Arial" w:hAnsi="Arial" w:cs="Arial"/>
          <w:b/>
          <w:color w:val="auto"/>
          <w:sz w:val="22"/>
          <w:szCs w:val="20"/>
          <w:lang w:eastAsia="en-US" w:bidi="en-US"/>
        </w:rPr>
        <w:t xml:space="preserve">Evidence for EU claims and conditions </w:t>
      </w:r>
    </w:p>
    <w:p w14:paraId="49E8A10B" w14:textId="34DD6B73" w:rsidR="0056363A" w:rsidRPr="0086223D" w:rsidRDefault="0056363A" w:rsidP="00424BD1">
      <w:pPr>
        <w:pStyle w:val="Default"/>
        <w:spacing w:before="120" w:after="120"/>
        <w:rPr>
          <w:rFonts w:ascii="Arial" w:hAnsi="Arial" w:cs="Arial"/>
          <w:color w:val="auto"/>
          <w:sz w:val="22"/>
          <w:szCs w:val="22"/>
          <w:lang w:eastAsia="en-US" w:bidi="en-US"/>
        </w:rPr>
      </w:pPr>
      <w:r w:rsidRPr="0086223D">
        <w:rPr>
          <w:rFonts w:ascii="Arial" w:hAnsi="Arial" w:cs="Arial"/>
          <w:color w:val="auto"/>
          <w:sz w:val="22"/>
          <w:szCs w:val="22"/>
          <w:lang w:eastAsia="en-US" w:bidi="en-US"/>
        </w:rPr>
        <w:t xml:space="preserve">EFSA assessed </w:t>
      </w:r>
      <w:r>
        <w:rPr>
          <w:rFonts w:ascii="Arial" w:hAnsi="Arial" w:cs="Arial"/>
          <w:color w:val="auto"/>
          <w:sz w:val="22"/>
          <w:szCs w:val="22"/>
          <w:lang w:eastAsia="en-US" w:bidi="en-US"/>
        </w:rPr>
        <w:t>t</w:t>
      </w:r>
      <w:r w:rsidRPr="0086223D">
        <w:rPr>
          <w:rFonts w:ascii="Arial" w:hAnsi="Arial" w:cs="Arial"/>
          <w:color w:val="auto"/>
          <w:sz w:val="22"/>
          <w:szCs w:val="22"/>
          <w:lang w:eastAsia="en-US" w:bidi="en-US"/>
        </w:rPr>
        <w:t xml:space="preserve">he </w:t>
      </w:r>
      <w:r w:rsidR="004B09AE">
        <w:rPr>
          <w:rFonts w:ascii="Arial" w:hAnsi="Arial" w:cs="Arial"/>
          <w:color w:val="auto"/>
          <w:sz w:val="22"/>
          <w:szCs w:val="22"/>
          <w:lang w:eastAsia="en-US" w:bidi="en-US"/>
        </w:rPr>
        <w:t xml:space="preserve">evidence for the </w:t>
      </w:r>
      <w:r w:rsidRPr="0086223D">
        <w:rPr>
          <w:rFonts w:ascii="Arial" w:hAnsi="Arial" w:cs="Arial"/>
          <w:color w:val="auto"/>
          <w:sz w:val="22"/>
          <w:szCs w:val="22"/>
          <w:lang w:eastAsia="en-US" w:bidi="en-US"/>
        </w:rPr>
        <w:t>two claims for</w:t>
      </w:r>
      <w:r w:rsidR="00F30226">
        <w:rPr>
          <w:rFonts w:ascii="Arial" w:hAnsi="Arial" w:cs="Arial"/>
          <w:color w:val="auto"/>
          <w:sz w:val="22"/>
          <w:szCs w:val="22"/>
          <w:lang w:eastAsia="en-US" w:bidi="en-US"/>
        </w:rPr>
        <w:t xml:space="preserve"> electrolyte drinks </w:t>
      </w:r>
      <w:r w:rsidRPr="0086223D">
        <w:rPr>
          <w:rFonts w:ascii="Arial" w:hAnsi="Arial" w:cs="Arial"/>
          <w:color w:val="auto"/>
          <w:sz w:val="22"/>
          <w:szCs w:val="22"/>
          <w:lang w:eastAsia="en-US" w:bidi="en-US"/>
        </w:rPr>
        <w:t>in 2011. The evidence was not assessed by systematic review</w:t>
      </w:r>
      <w:r w:rsidR="004B09AE">
        <w:rPr>
          <w:rFonts w:ascii="Arial" w:hAnsi="Arial" w:cs="Arial"/>
          <w:color w:val="auto"/>
          <w:sz w:val="22"/>
          <w:szCs w:val="22"/>
          <w:lang w:eastAsia="en-US" w:bidi="en-US"/>
        </w:rPr>
        <w:t>,</w:t>
      </w:r>
      <w:r w:rsidRPr="0086223D">
        <w:rPr>
          <w:rFonts w:ascii="Arial" w:hAnsi="Arial" w:cs="Arial"/>
          <w:color w:val="auto"/>
          <w:sz w:val="22"/>
          <w:szCs w:val="22"/>
          <w:lang w:eastAsia="en-US" w:bidi="en-US"/>
        </w:rPr>
        <w:t xml:space="preserve"> rather </w:t>
      </w:r>
      <w:r>
        <w:rPr>
          <w:rFonts w:ascii="Arial" w:hAnsi="Arial" w:cs="Arial"/>
          <w:color w:val="auto"/>
          <w:sz w:val="22"/>
          <w:szCs w:val="22"/>
          <w:lang w:eastAsia="en-US" w:bidi="en-US"/>
        </w:rPr>
        <w:t>the EFSA opinion</w:t>
      </w:r>
      <w:r w:rsidR="004B09AE">
        <w:rPr>
          <w:rStyle w:val="FootnoteReference"/>
          <w:rFonts w:ascii="Arial" w:hAnsi="Arial" w:cs="Arial"/>
          <w:color w:val="auto"/>
          <w:sz w:val="22"/>
          <w:szCs w:val="20"/>
          <w:lang w:eastAsia="en-US" w:bidi="en-US"/>
        </w:rPr>
        <w:footnoteReference w:id="12"/>
      </w:r>
      <w:r>
        <w:rPr>
          <w:rFonts w:ascii="Arial" w:hAnsi="Arial" w:cs="Arial"/>
          <w:color w:val="auto"/>
          <w:sz w:val="22"/>
          <w:szCs w:val="22"/>
          <w:lang w:eastAsia="en-US" w:bidi="en-US"/>
        </w:rPr>
        <w:t xml:space="preserve"> was based</w:t>
      </w:r>
      <w:r w:rsidRPr="0086223D">
        <w:rPr>
          <w:rFonts w:ascii="Arial" w:hAnsi="Arial" w:cs="Arial"/>
          <w:color w:val="auto"/>
          <w:sz w:val="22"/>
          <w:szCs w:val="22"/>
          <w:lang w:eastAsia="en-US" w:bidi="en-US"/>
        </w:rPr>
        <w:t xml:space="preserve"> </w:t>
      </w:r>
      <w:r>
        <w:rPr>
          <w:rFonts w:ascii="Arial" w:hAnsi="Arial" w:cs="Arial"/>
          <w:color w:val="auto"/>
          <w:sz w:val="22"/>
          <w:szCs w:val="22"/>
          <w:lang w:eastAsia="en-US" w:bidi="en-US"/>
        </w:rPr>
        <w:t>on</w:t>
      </w:r>
      <w:r w:rsidRPr="0086223D">
        <w:rPr>
          <w:rFonts w:ascii="Arial" w:hAnsi="Arial" w:cs="Arial"/>
          <w:color w:val="auto"/>
          <w:sz w:val="22"/>
          <w:szCs w:val="22"/>
          <w:lang w:eastAsia="en-US" w:bidi="en-US"/>
        </w:rPr>
        <w:t xml:space="preserve"> consensus opinions/reports from authoritative bodies. </w:t>
      </w:r>
      <w:r w:rsidR="00324983">
        <w:rPr>
          <w:rFonts w:ascii="Arial" w:hAnsi="Arial" w:cs="Arial"/>
          <w:color w:val="auto"/>
          <w:sz w:val="22"/>
          <w:szCs w:val="22"/>
          <w:lang w:eastAsia="en-US" w:bidi="en-US"/>
        </w:rPr>
        <w:t>EFSA explained its reasons as follows</w:t>
      </w:r>
      <w:r w:rsidR="00B75E8B">
        <w:rPr>
          <w:rFonts w:ascii="Arial" w:hAnsi="Arial" w:cs="Arial"/>
          <w:color w:val="auto"/>
          <w:sz w:val="22"/>
          <w:szCs w:val="22"/>
          <w:lang w:eastAsia="en-US" w:bidi="en-US"/>
        </w:rPr>
        <w:t xml:space="preserve"> (1)</w:t>
      </w:r>
      <w:r w:rsidR="00324983">
        <w:rPr>
          <w:rFonts w:ascii="Arial" w:hAnsi="Arial" w:cs="Arial"/>
          <w:color w:val="auto"/>
          <w:sz w:val="22"/>
          <w:szCs w:val="22"/>
          <w:lang w:eastAsia="en-US" w:bidi="en-US"/>
        </w:rPr>
        <w:t>:</w:t>
      </w:r>
    </w:p>
    <w:p w14:paraId="68598EC3" w14:textId="77777777" w:rsidR="00324983" w:rsidRDefault="00324983" w:rsidP="00324983">
      <w:pPr>
        <w:widowControl/>
        <w:autoSpaceDE w:val="0"/>
        <w:autoSpaceDN w:val="0"/>
        <w:adjustRightInd w:val="0"/>
        <w:spacing w:before="120" w:after="120"/>
        <w:ind w:left="567"/>
        <w:rPr>
          <w:rFonts w:cs="Arial"/>
          <w:sz w:val="20"/>
          <w:lang w:val="en" w:eastAsia="en-GB"/>
        </w:rPr>
      </w:pPr>
      <w:r w:rsidRPr="0054090A">
        <w:rPr>
          <w:sz w:val="20"/>
        </w:rPr>
        <w:t>“</w:t>
      </w:r>
      <w:r w:rsidRPr="0086223D">
        <w:rPr>
          <w:rFonts w:cs="Arial"/>
          <w:sz w:val="20"/>
          <w:lang w:val="en" w:eastAsia="en-GB"/>
        </w:rPr>
        <w:t xml:space="preserve">In cases where there is consensus among scientific experts in the field that a claim is substantiated as evidenced by reports from authoritative scientific bodies, EFSA may base its assessment solely on those reports (e.g., claims on the long established physiological functions of vitamins, essential micronutrients, macronutrients, and water). </w:t>
      </w:r>
    </w:p>
    <w:p w14:paraId="670D1DDB" w14:textId="5E72775A" w:rsidR="00324983" w:rsidRPr="0054090A" w:rsidRDefault="00324983" w:rsidP="00324983">
      <w:pPr>
        <w:widowControl/>
        <w:autoSpaceDE w:val="0"/>
        <w:autoSpaceDN w:val="0"/>
        <w:adjustRightInd w:val="0"/>
        <w:spacing w:before="120" w:after="120"/>
        <w:ind w:left="567"/>
        <w:rPr>
          <w:sz w:val="20"/>
        </w:rPr>
      </w:pPr>
      <w:r w:rsidRPr="0054090A">
        <w:rPr>
          <w:sz w:val="20"/>
        </w:rPr>
        <w:t xml:space="preserve">For example the assessment of the claim on carbohydrate electrolyte solutions related to the ‘maintenance of endurance performance’ was based on a number of such reports, three of which were cited in the opinion – that of the EU Scientific Committee on Food in 2001 (4) and the reports of the American College of Sports Medicine in 2007 and 2009 (5,6). These reports reflect the consensus opinion of experts based on a large body of scientific evidence on the physiological benefits of consuming fluids and carbohydrate during prolonged (endurance) exercise, generally lasting more than one hour. </w:t>
      </w:r>
    </w:p>
    <w:p w14:paraId="7D3F4B79" w14:textId="77777777" w:rsidR="00324983" w:rsidRDefault="00324983" w:rsidP="00324983">
      <w:pPr>
        <w:widowControl/>
        <w:autoSpaceDE w:val="0"/>
        <w:autoSpaceDN w:val="0"/>
        <w:adjustRightInd w:val="0"/>
        <w:spacing w:before="120" w:after="120"/>
        <w:ind w:left="567"/>
        <w:rPr>
          <w:sz w:val="20"/>
        </w:rPr>
      </w:pPr>
      <w:r w:rsidRPr="0054090A">
        <w:rPr>
          <w:sz w:val="20"/>
        </w:rPr>
        <w:t>EFSA’s conclusion that this claim is substantiated is supported by a more recent meta-analysis of 50 randomised controlled trials performed between 1982 and 2011 (7), none of which were among the 54 references submitted to EFSA for this claim.”</w:t>
      </w:r>
      <w:r>
        <w:rPr>
          <w:sz w:val="20"/>
        </w:rPr>
        <w:t>.</w:t>
      </w:r>
    </w:p>
    <w:p w14:paraId="7AA65CBB" w14:textId="15FBA4D4" w:rsidR="0056363A" w:rsidRDefault="0056363A" w:rsidP="00424BD1">
      <w:pPr>
        <w:pStyle w:val="FSBullet1"/>
        <w:numPr>
          <w:ilvl w:val="0"/>
          <w:numId w:val="0"/>
        </w:numPr>
        <w:spacing w:before="120" w:after="120"/>
        <w:rPr>
          <w:szCs w:val="22"/>
        </w:rPr>
      </w:pPr>
      <w:r>
        <w:t xml:space="preserve">Both </w:t>
      </w:r>
      <w:r w:rsidRPr="003B5192">
        <w:t xml:space="preserve">EFSA’s </w:t>
      </w:r>
      <w:r>
        <w:t>opinion</w:t>
      </w:r>
      <w:r w:rsidRPr="003B5192">
        <w:t xml:space="preserve"> and SD1 refer to </w:t>
      </w:r>
      <w:r>
        <w:t>the relevant population group as active healthy young individuals performing endurance exercise</w:t>
      </w:r>
      <w:r w:rsidR="00FF6CE6">
        <w:t>. A</w:t>
      </w:r>
      <w:r>
        <w:t xml:space="preserve">lso mentioned is </w:t>
      </w:r>
      <w:r w:rsidRPr="003B5192">
        <w:t xml:space="preserve">the </w:t>
      </w:r>
      <w:r>
        <w:t>importance</w:t>
      </w:r>
      <w:r w:rsidRPr="003B5192">
        <w:t xml:space="preserve"> </w:t>
      </w:r>
      <w:r>
        <w:t>of</w:t>
      </w:r>
      <w:r w:rsidRPr="003B5192">
        <w:t xml:space="preserve"> tak</w:t>
      </w:r>
      <w:r>
        <w:t>ing</w:t>
      </w:r>
      <w:r w:rsidRPr="003B5192">
        <w:t xml:space="preserve"> fluids during strenuous physical activity to prevent body water loss </w:t>
      </w:r>
      <w:r>
        <w:t xml:space="preserve">greater than </w:t>
      </w:r>
      <w:r w:rsidRPr="003B5192">
        <w:t xml:space="preserve">2% body weight to ensure performance is not adversely affected. </w:t>
      </w:r>
      <w:r>
        <w:t xml:space="preserve">EFSA further indicates that water loss greater than 2% body weight </w:t>
      </w:r>
      <w:r w:rsidRPr="000C4942">
        <w:t>reduce</w:t>
      </w:r>
      <w:r>
        <w:t>s</w:t>
      </w:r>
      <w:r w:rsidRPr="000C4942">
        <w:t xml:space="preserve"> physical </w:t>
      </w:r>
      <w:r>
        <w:t>performance</w:t>
      </w:r>
      <w:r w:rsidRPr="000C4942">
        <w:t xml:space="preserve">, especially when </w:t>
      </w:r>
      <w:r w:rsidR="00FF6CE6">
        <w:t xml:space="preserve">it is </w:t>
      </w:r>
      <w:r w:rsidRPr="000C4942">
        <w:t xml:space="preserve">taking place over long periods </w:t>
      </w:r>
      <w:r>
        <w:t xml:space="preserve">or </w:t>
      </w:r>
      <w:r w:rsidRPr="000C4942">
        <w:t>in hot weather</w:t>
      </w:r>
      <w:r>
        <w:rPr>
          <w:color w:val="0070C0"/>
        </w:rPr>
        <w:t>.</w:t>
      </w:r>
      <w:r w:rsidRPr="000C4942">
        <w:rPr>
          <w:color w:val="0070C0"/>
        </w:rPr>
        <w:t xml:space="preserve"> </w:t>
      </w:r>
    </w:p>
    <w:p w14:paraId="52B7F6D7" w14:textId="732F67F6" w:rsidR="0056363A" w:rsidRPr="00C47293" w:rsidRDefault="0056363A" w:rsidP="00424BD1">
      <w:pPr>
        <w:widowControl/>
        <w:spacing w:before="120" w:after="120"/>
        <w:rPr>
          <w:bCs/>
          <w:lang w:bidi="ar-SA"/>
        </w:rPr>
      </w:pPr>
      <w:r w:rsidRPr="00C47293">
        <w:rPr>
          <w:bCs/>
          <w:lang w:bidi="ar-SA"/>
        </w:rPr>
        <w:t xml:space="preserve">EFSA’s assessment of two health effects that </w:t>
      </w:r>
      <w:r>
        <w:rPr>
          <w:bCs/>
          <w:lang w:bidi="ar-SA"/>
        </w:rPr>
        <w:t>received</w:t>
      </w:r>
      <w:r w:rsidRPr="00C47293">
        <w:rPr>
          <w:bCs/>
          <w:lang w:bidi="ar-SA"/>
        </w:rPr>
        <w:t xml:space="preserve"> </w:t>
      </w:r>
      <w:r w:rsidR="004C4160">
        <w:rPr>
          <w:bCs/>
          <w:lang w:bidi="ar-SA"/>
        </w:rPr>
        <w:t xml:space="preserve">its </w:t>
      </w:r>
      <w:r w:rsidRPr="00C47293">
        <w:rPr>
          <w:bCs/>
          <w:lang w:bidi="ar-SA"/>
        </w:rPr>
        <w:t>suppor</w:t>
      </w:r>
      <w:r>
        <w:rPr>
          <w:bCs/>
          <w:lang w:bidi="ar-SA"/>
        </w:rPr>
        <w:t>t</w:t>
      </w:r>
      <w:r w:rsidRPr="00C47293">
        <w:rPr>
          <w:bCs/>
          <w:lang w:bidi="ar-SA"/>
        </w:rPr>
        <w:t xml:space="preserve"> are as follows:</w:t>
      </w:r>
    </w:p>
    <w:p w14:paraId="7912FDD9" w14:textId="77777777" w:rsidR="0056363A" w:rsidRPr="00C47293" w:rsidRDefault="0056363A" w:rsidP="00424BD1">
      <w:pPr>
        <w:widowControl/>
        <w:spacing w:before="120" w:after="120"/>
        <w:rPr>
          <w:lang w:bidi="ar-SA"/>
        </w:rPr>
      </w:pPr>
      <w:r w:rsidRPr="00C47293">
        <w:rPr>
          <w:b/>
          <w:bCs/>
          <w:lang w:bidi="ar-SA"/>
        </w:rPr>
        <w:t xml:space="preserve">Enhancement of water absorption during exercise </w:t>
      </w:r>
    </w:p>
    <w:p w14:paraId="68A170E1" w14:textId="77777777" w:rsidR="0056363A" w:rsidRPr="00C47293" w:rsidRDefault="0056363A" w:rsidP="00424BD1">
      <w:pPr>
        <w:pStyle w:val="FSBullet1"/>
        <w:spacing w:before="120" w:after="120"/>
      </w:pPr>
      <w:r w:rsidRPr="00C47293">
        <w:rPr>
          <w:szCs w:val="20"/>
          <w:lang w:bidi="en-US"/>
        </w:rPr>
        <w:lastRenderedPageBreak/>
        <w:t>In EFSA’s view “</w:t>
      </w:r>
      <w:r w:rsidRPr="00C47293">
        <w:t xml:space="preserve">The evidence provided by consensus opinions/reports from authoritative bodies shows that glucose-electrolyte solutions with an osmolality which is isotonic or slightly hypotonic with respect to plasma (i.e. 200-330 mOsm/kg water) maximise the rate of water uptake, and that the addition of carbohydrates to electrolyte solutions promotes water absorption in the small intestine. Sodium in a concentration between 20-50 mmol/L stimulates carbohydrate and water uptake in the small intestine, and helps to maintain extracellular fluid </w:t>
      </w:r>
      <w:r w:rsidRPr="00E02E25">
        <w:t>volume (SCF, 2001).</w:t>
      </w:r>
      <w:r w:rsidRPr="00C47293">
        <w:t xml:space="preserve">  </w:t>
      </w:r>
    </w:p>
    <w:p w14:paraId="14745C1B" w14:textId="77777777" w:rsidR="0056363A" w:rsidRPr="00C47293" w:rsidRDefault="0056363A" w:rsidP="00424BD1">
      <w:pPr>
        <w:pStyle w:val="FSBullet1"/>
        <w:spacing w:before="120" w:after="120"/>
      </w:pPr>
      <w:r w:rsidRPr="00C47293">
        <w:t>EFSA concluded “</w:t>
      </w:r>
      <w:r w:rsidRPr="00C47293">
        <w:rPr>
          <w:szCs w:val="22"/>
        </w:rPr>
        <w:t xml:space="preserve">that a cause and effect relationship has been established between the consumption of carbohydrate-electrolyte solutions and enhancement of water absorption during exercise.”. </w:t>
      </w:r>
    </w:p>
    <w:p w14:paraId="0850BB60" w14:textId="77777777" w:rsidR="0056363A" w:rsidRPr="00C47293" w:rsidRDefault="0056363A" w:rsidP="004D2DC3">
      <w:pPr>
        <w:widowControl/>
        <w:rPr>
          <w:lang w:bidi="ar-SA"/>
        </w:rPr>
      </w:pPr>
      <w:r w:rsidRPr="00C47293">
        <w:rPr>
          <w:b/>
          <w:bCs/>
          <w:lang w:bidi="ar-SA"/>
        </w:rPr>
        <w:t xml:space="preserve">Maintenance of endurance performance </w:t>
      </w:r>
    </w:p>
    <w:p w14:paraId="1C310B46" w14:textId="77777777" w:rsidR="0056363A" w:rsidRPr="00E02E25" w:rsidRDefault="0056363A" w:rsidP="00424BD1">
      <w:pPr>
        <w:pStyle w:val="FSBullet1"/>
        <w:spacing w:before="120" w:after="120"/>
      </w:pPr>
      <w:r w:rsidRPr="00C47293">
        <w:t>In EFSA’s view “The evidence provided by consensus opinions</w:t>
      </w:r>
      <w:r w:rsidRPr="000C4942">
        <w:t xml:space="preserve">/reports from authoritative bodies such as the SCF or the American College of Sports Medicine shows that there is good consensus on the role of beverages containing carbohydrates and electrolytes (in particular sodium) in maintaining performance during prolonged endurance exercise, relative to plain water, and that the consumption of beverages containing electrolytes and carbohydrates during exercise can help maintain fluid and electrolyte balance, as well as endurance exercise </w:t>
      </w:r>
      <w:r w:rsidRPr="00E02E25">
        <w:t xml:space="preserve">performance (Rodriguez et al., 2009; Sawka et al., 2007; SCF, 2001). </w:t>
      </w:r>
    </w:p>
    <w:p w14:paraId="208A3527" w14:textId="08F80ED2" w:rsidR="0056363A" w:rsidRPr="000C4942" w:rsidRDefault="0056363A" w:rsidP="00424BD1">
      <w:pPr>
        <w:pStyle w:val="FSBullet1"/>
        <w:spacing w:before="120" w:after="120"/>
      </w:pPr>
      <w:r w:rsidRPr="000C4942">
        <w:t xml:space="preserve">EFSA concluded </w:t>
      </w:r>
      <w:r w:rsidR="00234388">
        <w:t>‘</w:t>
      </w:r>
      <w:r w:rsidRPr="000C4942">
        <w:t xml:space="preserve">that a cause and effect relationship has been established between the consumption of carbohydrate-electrolyte solutions and maintenance of endurance performance.” </w:t>
      </w:r>
    </w:p>
    <w:p w14:paraId="550B6660" w14:textId="2C5C2644" w:rsidR="0056363A" w:rsidRDefault="0056363A" w:rsidP="00424BD1">
      <w:pPr>
        <w:widowControl/>
        <w:autoSpaceDE w:val="0"/>
        <w:autoSpaceDN w:val="0"/>
        <w:adjustRightInd w:val="0"/>
        <w:spacing w:before="120" w:after="120"/>
      </w:pPr>
      <w:r>
        <w:t xml:space="preserve">The resultant EU claims and conditions are shown in Table </w:t>
      </w:r>
      <w:r w:rsidR="00FF6CE6">
        <w:t>A1</w:t>
      </w:r>
      <w:r>
        <w:t>.</w:t>
      </w:r>
    </w:p>
    <w:p w14:paraId="4B6986CE" w14:textId="32C719D4" w:rsidR="0056363A" w:rsidRPr="00911344" w:rsidRDefault="0056363A" w:rsidP="00424BD1">
      <w:pPr>
        <w:widowControl/>
        <w:spacing w:before="120" w:after="120"/>
        <w:rPr>
          <w:b/>
          <w:sz w:val="20"/>
        </w:rPr>
      </w:pPr>
      <w:r w:rsidRPr="00911344">
        <w:rPr>
          <w:b/>
          <w:sz w:val="20"/>
        </w:rPr>
        <w:t xml:space="preserve">Table </w:t>
      </w:r>
      <w:r w:rsidR="00FF6CE6">
        <w:rPr>
          <w:b/>
          <w:sz w:val="20"/>
        </w:rPr>
        <w:t>A1</w:t>
      </w:r>
      <w:r>
        <w:rPr>
          <w:b/>
          <w:sz w:val="20"/>
        </w:rPr>
        <w:t xml:space="preserve">: </w:t>
      </w:r>
      <w:r w:rsidR="00234388">
        <w:rPr>
          <w:b/>
          <w:sz w:val="20"/>
        </w:rPr>
        <w:t xml:space="preserve">Authorised </w:t>
      </w:r>
      <w:r w:rsidRPr="00911344">
        <w:rPr>
          <w:b/>
          <w:sz w:val="20"/>
        </w:rPr>
        <w:t>EU health claims for carbohydrate electrolyte solutions</w:t>
      </w:r>
      <w:r w:rsidRPr="00911344">
        <w:rPr>
          <w:rStyle w:val="FootnoteReference"/>
          <w:b/>
          <w:sz w:val="20"/>
        </w:rPr>
        <w:footnoteReference w:id="13"/>
      </w:r>
    </w:p>
    <w:tbl>
      <w:tblPr>
        <w:tblStyle w:val="TableGrid"/>
        <w:tblW w:w="5000" w:type="pct"/>
        <w:tblLook w:val="04A0" w:firstRow="1" w:lastRow="0" w:firstColumn="1" w:lastColumn="0" w:noHBand="0" w:noVBand="1"/>
      </w:tblPr>
      <w:tblGrid>
        <w:gridCol w:w="2584"/>
        <w:gridCol w:w="6476"/>
      </w:tblGrid>
      <w:tr w:rsidR="00FF6CE6" w:rsidRPr="00BC6746" w14:paraId="0C302265" w14:textId="77777777" w:rsidTr="00994EBF">
        <w:trPr>
          <w:tblHeader/>
        </w:trPr>
        <w:tc>
          <w:tcPr>
            <w:tcW w:w="1426" w:type="pct"/>
          </w:tcPr>
          <w:p w14:paraId="0EBF10EB" w14:textId="77777777" w:rsidR="00FF6CE6" w:rsidRPr="00BC6746" w:rsidRDefault="00FF6CE6" w:rsidP="00424BD1">
            <w:pPr>
              <w:widowControl/>
              <w:spacing w:before="120" w:after="120"/>
              <w:rPr>
                <w:rFonts w:cs="Arial"/>
                <w:b/>
                <w:sz w:val="20"/>
                <w:szCs w:val="20"/>
              </w:rPr>
            </w:pPr>
            <w:r w:rsidRPr="00BC6746">
              <w:rPr>
                <w:rFonts w:cs="Arial"/>
                <w:b/>
                <w:sz w:val="20"/>
                <w:szCs w:val="20"/>
              </w:rPr>
              <w:t>Claim</w:t>
            </w:r>
          </w:p>
        </w:tc>
        <w:tc>
          <w:tcPr>
            <w:tcW w:w="3574" w:type="pct"/>
          </w:tcPr>
          <w:p w14:paraId="52F8D36C" w14:textId="77777777" w:rsidR="00FF6CE6" w:rsidRPr="00BC6746" w:rsidRDefault="00FF6CE6" w:rsidP="00424BD1">
            <w:pPr>
              <w:widowControl/>
              <w:spacing w:before="120" w:after="120"/>
              <w:rPr>
                <w:rFonts w:cs="Arial"/>
                <w:b/>
                <w:sz w:val="20"/>
                <w:szCs w:val="20"/>
              </w:rPr>
            </w:pPr>
            <w:r w:rsidRPr="00BC6746">
              <w:rPr>
                <w:rFonts w:cs="Arial"/>
                <w:b/>
                <w:sz w:val="20"/>
                <w:szCs w:val="20"/>
              </w:rPr>
              <w:t>Conditions for use</w:t>
            </w:r>
          </w:p>
        </w:tc>
      </w:tr>
      <w:tr w:rsidR="00FF6CE6" w:rsidRPr="00BC6746" w14:paraId="0F40CA1A" w14:textId="77777777" w:rsidTr="00FF6CE6">
        <w:tc>
          <w:tcPr>
            <w:tcW w:w="1426" w:type="pct"/>
          </w:tcPr>
          <w:p w14:paraId="2DA42C59" w14:textId="77777777" w:rsidR="00FF6CE6" w:rsidRPr="00BC6746" w:rsidRDefault="00FF6CE6" w:rsidP="00424BD1">
            <w:pPr>
              <w:widowControl/>
              <w:spacing w:before="120" w:after="120"/>
              <w:rPr>
                <w:rFonts w:cs="Arial"/>
                <w:sz w:val="20"/>
                <w:szCs w:val="20"/>
              </w:rPr>
            </w:pPr>
            <w:r w:rsidRPr="00BC6746">
              <w:rPr>
                <w:rFonts w:cs="Arial"/>
                <w:sz w:val="20"/>
                <w:szCs w:val="20"/>
              </w:rPr>
              <w:t>Carbohydrate-electrolyte solutions enhance the absorption of water during physical exercise</w:t>
            </w:r>
          </w:p>
        </w:tc>
        <w:tc>
          <w:tcPr>
            <w:tcW w:w="3574" w:type="pct"/>
          </w:tcPr>
          <w:p w14:paraId="0E4619E4" w14:textId="77777777" w:rsidR="00FF6CE6" w:rsidRPr="00BC6746" w:rsidRDefault="00FF6CE6" w:rsidP="00424BD1">
            <w:pPr>
              <w:widowControl/>
              <w:spacing w:before="120" w:after="120"/>
              <w:rPr>
                <w:rFonts w:cs="Arial"/>
                <w:sz w:val="20"/>
                <w:szCs w:val="20"/>
              </w:rPr>
            </w:pPr>
            <w:r w:rsidRPr="00BC6746">
              <w:rPr>
                <w:rFonts w:cs="Arial"/>
                <w:sz w:val="20"/>
                <w:szCs w:val="20"/>
              </w:rPr>
              <w:t xml:space="preserve">In order to bear the claim carbohydrate-electrolyte solutions should contain 80-350 kcal/L from carbohydrates, and at </w:t>
            </w:r>
            <w:r w:rsidRPr="00FF6CE6">
              <w:rPr>
                <w:rFonts w:cs="Arial"/>
                <w:sz w:val="20"/>
                <w:szCs w:val="20"/>
              </w:rPr>
              <w:t>least</w:t>
            </w:r>
            <w:r w:rsidRPr="00BC6746">
              <w:rPr>
                <w:rFonts w:cs="Arial"/>
                <w:sz w:val="20"/>
                <w:szCs w:val="20"/>
              </w:rPr>
              <w:t xml:space="preserve"> 75% of the energy should be derived from carbohydrates which induce a high glycaemic response, such as glucose, glucose polymers and sucrose. In addition, these beverages should contain between 20 mmol/L (460 mg/L) and 50 mmol/L (1,150 mg/L) of sodium, and have an osmolality between 200-330 mOsm/kg water.</w:t>
            </w:r>
            <w:r>
              <w:rPr>
                <w:rFonts w:cs="Arial"/>
                <w:sz w:val="20"/>
                <w:szCs w:val="20"/>
              </w:rPr>
              <w:t xml:space="preserve"> </w:t>
            </w:r>
          </w:p>
        </w:tc>
      </w:tr>
      <w:tr w:rsidR="00FF6CE6" w:rsidRPr="00BC6746" w14:paraId="47A5F301" w14:textId="77777777" w:rsidTr="00FF6CE6">
        <w:tc>
          <w:tcPr>
            <w:tcW w:w="1426" w:type="pct"/>
          </w:tcPr>
          <w:p w14:paraId="439606FC" w14:textId="77777777" w:rsidR="00FF6CE6" w:rsidRPr="00BC6746" w:rsidRDefault="00FF6CE6" w:rsidP="00424BD1">
            <w:pPr>
              <w:widowControl/>
              <w:spacing w:before="120" w:after="120"/>
              <w:rPr>
                <w:rFonts w:cs="Arial"/>
                <w:sz w:val="20"/>
                <w:szCs w:val="20"/>
              </w:rPr>
            </w:pPr>
            <w:r w:rsidRPr="0006653F">
              <w:rPr>
                <w:rFonts w:cs="Arial"/>
                <w:color w:val="000000"/>
                <w:sz w:val="20"/>
                <w:szCs w:val="20"/>
                <w:lang w:eastAsia="en-GB" w:bidi="ar-SA"/>
              </w:rPr>
              <w:t>Carbohydrate-electrolyte solutions contribute to the maintenance of endurance performance during prolonged endurance exercise</w:t>
            </w:r>
          </w:p>
        </w:tc>
        <w:tc>
          <w:tcPr>
            <w:tcW w:w="3574" w:type="pct"/>
          </w:tcPr>
          <w:p w14:paraId="6D96CC95" w14:textId="77777777" w:rsidR="00FF6CE6" w:rsidRPr="00BC6746" w:rsidRDefault="00FF6CE6" w:rsidP="00424BD1">
            <w:pPr>
              <w:widowControl/>
              <w:spacing w:before="120" w:after="120"/>
              <w:rPr>
                <w:rFonts w:cs="Arial"/>
                <w:sz w:val="20"/>
                <w:szCs w:val="20"/>
              </w:rPr>
            </w:pPr>
            <w:r w:rsidRPr="0006653F">
              <w:rPr>
                <w:rFonts w:cs="Arial"/>
                <w:color w:val="000000"/>
                <w:sz w:val="20"/>
                <w:szCs w:val="20"/>
                <w:lang w:eastAsia="en-GB" w:bidi="ar-SA"/>
              </w:rPr>
              <w:t>In order to bear the claim carbohydrate-electrolyte solutions should contain 80-350 kcal/L from carbohydrates, and at least 75 % of the energy should be derived from carbohydrates which induce a high glycaemic response, such as glucose, glucose polymers and sucrose. In addition, these beverages should contain between 20 mmol/L (460 mg/L) and 50 mmol/L (1,150 mg/L) of sodium, and have an osmolality between 200-330 mOsm/kg water</w:t>
            </w:r>
            <w:r>
              <w:rPr>
                <w:rFonts w:cs="Arial"/>
                <w:color w:val="000000"/>
                <w:sz w:val="20"/>
                <w:szCs w:val="20"/>
                <w:lang w:eastAsia="en-GB" w:bidi="ar-SA"/>
              </w:rPr>
              <w:t>.</w:t>
            </w:r>
          </w:p>
        </w:tc>
      </w:tr>
    </w:tbl>
    <w:p w14:paraId="075AF839" w14:textId="4ABC0706" w:rsidR="00FF6CE6" w:rsidRDefault="00FF6CE6" w:rsidP="00424BD1">
      <w:pPr>
        <w:pStyle w:val="Default"/>
        <w:spacing w:before="120" w:after="120"/>
        <w:rPr>
          <w:rFonts w:ascii="Arial" w:hAnsi="Arial" w:cs="Arial"/>
          <w:color w:val="auto"/>
          <w:sz w:val="22"/>
          <w:szCs w:val="20"/>
          <w:lang w:eastAsia="en-US" w:bidi="en-US"/>
        </w:rPr>
      </w:pPr>
      <w:r>
        <w:rPr>
          <w:rFonts w:ascii="Arial" w:hAnsi="Arial" w:cs="Arial"/>
          <w:color w:val="auto"/>
          <w:sz w:val="22"/>
          <w:szCs w:val="20"/>
          <w:lang w:eastAsia="en-US" w:bidi="en-US"/>
        </w:rPr>
        <w:t xml:space="preserve">Note that FSANZ is not considering another more recent and </w:t>
      </w:r>
      <w:r w:rsidR="00B259BB">
        <w:rPr>
          <w:rFonts w:ascii="Arial" w:hAnsi="Arial" w:cs="Arial"/>
          <w:color w:val="auto"/>
          <w:sz w:val="22"/>
          <w:szCs w:val="20"/>
          <w:lang w:eastAsia="en-US" w:bidi="en-US"/>
        </w:rPr>
        <w:t xml:space="preserve">as </w:t>
      </w:r>
      <w:r w:rsidRPr="00E03395">
        <w:rPr>
          <w:rFonts w:ascii="Arial" w:hAnsi="Arial" w:cs="Arial"/>
          <w:color w:val="auto"/>
          <w:sz w:val="22"/>
          <w:szCs w:val="20"/>
          <w:lang w:eastAsia="en-US" w:bidi="en-US"/>
        </w:rPr>
        <w:t xml:space="preserve">yet </w:t>
      </w:r>
      <w:r w:rsidR="00B259BB">
        <w:rPr>
          <w:rFonts w:ascii="Arial" w:hAnsi="Arial" w:cs="Arial"/>
          <w:color w:val="auto"/>
          <w:sz w:val="22"/>
          <w:szCs w:val="20"/>
          <w:lang w:eastAsia="en-US" w:bidi="en-US"/>
        </w:rPr>
        <w:t>un</w:t>
      </w:r>
      <w:r w:rsidRPr="00E03395">
        <w:rPr>
          <w:rFonts w:ascii="Arial" w:hAnsi="Arial" w:cs="Arial"/>
          <w:color w:val="auto"/>
          <w:sz w:val="22"/>
          <w:szCs w:val="20"/>
          <w:lang w:eastAsia="en-US" w:bidi="en-US"/>
        </w:rPr>
        <w:t>authorised</w:t>
      </w:r>
      <w:r>
        <w:rPr>
          <w:rFonts w:ascii="Arial" w:hAnsi="Arial" w:cs="Arial"/>
          <w:color w:val="auto"/>
          <w:sz w:val="22"/>
          <w:szCs w:val="20"/>
          <w:lang w:eastAsia="en-US" w:bidi="en-US"/>
        </w:rPr>
        <w:t xml:space="preserve"> EU claim for carbohydrate solutions</w:t>
      </w:r>
      <w:r>
        <w:rPr>
          <w:rStyle w:val="FootnoteReference"/>
          <w:rFonts w:ascii="Arial" w:hAnsi="Arial" w:cs="Arial"/>
          <w:color w:val="auto"/>
          <w:sz w:val="22"/>
          <w:szCs w:val="20"/>
          <w:lang w:eastAsia="en-US" w:bidi="en-US"/>
        </w:rPr>
        <w:footnoteReference w:id="14"/>
      </w:r>
      <w:r>
        <w:rPr>
          <w:rFonts w:ascii="Arial" w:hAnsi="Arial" w:cs="Arial"/>
          <w:color w:val="auto"/>
          <w:sz w:val="22"/>
          <w:szCs w:val="20"/>
          <w:lang w:eastAsia="en-US" w:bidi="en-US"/>
        </w:rPr>
        <w:t xml:space="preserve">.  </w:t>
      </w:r>
    </w:p>
    <w:p w14:paraId="7A179F12" w14:textId="3A1618EE" w:rsidR="00324983" w:rsidRDefault="00324983" w:rsidP="00424BD1">
      <w:pPr>
        <w:widowControl/>
        <w:autoSpaceDE w:val="0"/>
        <w:autoSpaceDN w:val="0"/>
        <w:adjustRightInd w:val="0"/>
        <w:spacing w:before="120" w:after="120"/>
        <w:rPr>
          <w:szCs w:val="22"/>
        </w:rPr>
      </w:pPr>
    </w:p>
    <w:p w14:paraId="60FD534B" w14:textId="428172FF" w:rsidR="00324983" w:rsidRDefault="00324983" w:rsidP="00E02E25">
      <w:pPr>
        <w:widowControl/>
        <w:spacing w:before="120" w:after="120"/>
        <w:rPr>
          <w:rFonts w:cs="Arial"/>
          <w:b/>
          <w:sz w:val="20"/>
          <w:szCs w:val="18"/>
          <w:lang w:val="en" w:eastAsia="en-GB"/>
        </w:rPr>
      </w:pPr>
    </w:p>
    <w:p w14:paraId="7B257E85" w14:textId="77777777" w:rsidR="00B34631" w:rsidRDefault="00B34631" w:rsidP="00E02E25">
      <w:pPr>
        <w:widowControl/>
        <w:spacing w:before="120" w:after="120"/>
        <w:rPr>
          <w:rFonts w:cs="Arial"/>
          <w:b/>
          <w:sz w:val="20"/>
          <w:szCs w:val="18"/>
          <w:lang w:val="en" w:eastAsia="en-GB"/>
        </w:rPr>
      </w:pPr>
    </w:p>
    <w:p w14:paraId="0C0F66C5" w14:textId="4151C22C" w:rsidR="0056363A" w:rsidRPr="00E02E25" w:rsidRDefault="00324983" w:rsidP="00E02E25">
      <w:pPr>
        <w:widowControl/>
        <w:spacing w:before="120" w:after="120"/>
        <w:rPr>
          <w:rFonts w:cs="Arial"/>
          <w:b/>
          <w:sz w:val="20"/>
          <w:szCs w:val="18"/>
          <w:lang w:val="en" w:eastAsia="en-GB"/>
        </w:rPr>
      </w:pPr>
      <w:r>
        <w:rPr>
          <w:rFonts w:cs="Arial"/>
          <w:b/>
          <w:sz w:val="20"/>
          <w:szCs w:val="18"/>
          <w:lang w:val="en" w:eastAsia="en-GB"/>
        </w:rPr>
        <w:t>EFSA’s r</w:t>
      </w:r>
      <w:r w:rsidR="00204C4B" w:rsidRPr="00E02E25">
        <w:rPr>
          <w:rFonts w:cs="Arial"/>
          <w:b/>
          <w:sz w:val="20"/>
          <w:szCs w:val="18"/>
          <w:lang w:val="en" w:eastAsia="en-GB"/>
        </w:rPr>
        <w:t>eferences</w:t>
      </w:r>
      <w:r w:rsidR="00204C4B">
        <w:rPr>
          <w:rFonts w:cs="Arial"/>
          <w:b/>
          <w:sz w:val="20"/>
          <w:szCs w:val="18"/>
          <w:lang w:val="en" w:eastAsia="en-GB"/>
        </w:rPr>
        <w:t xml:space="preserve"> </w:t>
      </w:r>
    </w:p>
    <w:p w14:paraId="7CDB88FB" w14:textId="3E394B5C" w:rsidR="00E02E25" w:rsidRDefault="00E02E25" w:rsidP="00E02E25">
      <w:pPr>
        <w:widowControl/>
        <w:spacing w:before="120" w:after="120"/>
        <w:rPr>
          <w:rFonts w:cs="Arial"/>
          <w:sz w:val="18"/>
          <w:szCs w:val="18"/>
          <w:lang w:val="en" w:eastAsia="en-GB"/>
        </w:rPr>
      </w:pPr>
      <w:r w:rsidRPr="00B83958">
        <w:rPr>
          <w:rFonts w:cs="Arial"/>
          <w:sz w:val="20"/>
          <w:szCs w:val="18"/>
          <w:lang w:val="en" w:eastAsia="en-GB"/>
        </w:rPr>
        <w:t>1)</w:t>
      </w:r>
      <w:r w:rsidRPr="00B83958">
        <w:rPr>
          <w:rFonts w:cs="Arial"/>
          <w:szCs w:val="18"/>
          <w:lang w:val="en" w:eastAsia="en-GB"/>
        </w:rPr>
        <w:t xml:space="preserve"> </w:t>
      </w:r>
      <w:r w:rsidR="00B75E8B">
        <w:rPr>
          <w:rFonts w:cs="Arial"/>
          <w:sz w:val="20"/>
          <w:szCs w:val="18"/>
          <w:lang w:val="en" w:eastAsia="en-GB"/>
        </w:rPr>
        <w:t>Kleiner, J. Rapid response to:</w:t>
      </w:r>
      <w:r w:rsidRPr="00B83958">
        <w:rPr>
          <w:rFonts w:cs="Arial"/>
          <w:sz w:val="20"/>
          <w:szCs w:val="18"/>
          <w:lang w:val="en" w:eastAsia="en-GB"/>
        </w:rPr>
        <w:t xml:space="preserve"> </w:t>
      </w:r>
      <w:r w:rsidRPr="00B75E8B">
        <w:rPr>
          <w:rFonts w:cs="Arial"/>
          <w:i/>
          <w:sz w:val="20"/>
          <w:szCs w:val="18"/>
          <w:lang w:val="en" w:eastAsia="en-GB"/>
        </w:rPr>
        <w:t>How valid is the European Food Safety Authority’s assessment of sports drin</w:t>
      </w:r>
      <w:r w:rsidRPr="00B83958">
        <w:rPr>
          <w:rFonts w:cs="Arial"/>
          <w:sz w:val="20"/>
          <w:szCs w:val="18"/>
          <w:lang w:val="en" w:eastAsia="en-GB"/>
        </w:rPr>
        <w:t>k</w:t>
      </w:r>
      <w:r w:rsidR="00B75E8B">
        <w:rPr>
          <w:rFonts w:cs="Arial"/>
          <w:sz w:val="20"/>
          <w:szCs w:val="18"/>
          <w:lang w:val="en" w:eastAsia="en-GB"/>
        </w:rPr>
        <w:t>?</w:t>
      </w:r>
      <w:r w:rsidRPr="00B83958">
        <w:rPr>
          <w:rFonts w:cs="Arial"/>
          <w:sz w:val="20"/>
          <w:szCs w:val="18"/>
          <w:lang w:val="en" w:eastAsia="en-GB"/>
        </w:rPr>
        <w:t xml:space="preserve"> </w:t>
      </w:r>
      <w:r>
        <w:rPr>
          <w:rStyle w:val="italic"/>
          <w:lang w:val="en"/>
        </w:rPr>
        <w:t>BMJ</w:t>
      </w:r>
      <w:r>
        <w:rPr>
          <w:rStyle w:val="highwire-cite-article-as"/>
          <w:lang w:val="en"/>
        </w:rPr>
        <w:t xml:space="preserve"> 2012;345:e4753</w:t>
      </w:r>
      <w:r w:rsidRPr="000234C4">
        <w:rPr>
          <w:rFonts w:cs="Arial"/>
          <w:sz w:val="18"/>
          <w:szCs w:val="18"/>
          <w:lang w:val="en" w:eastAsia="en-GB"/>
        </w:rPr>
        <w:t xml:space="preserve"> </w:t>
      </w:r>
    </w:p>
    <w:p w14:paraId="45E63DE7" w14:textId="018C4263" w:rsidR="0056363A" w:rsidRPr="00D355C5" w:rsidRDefault="0056363A" w:rsidP="00E02E25">
      <w:pPr>
        <w:widowControl/>
        <w:spacing w:before="120" w:after="120"/>
        <w:rPr>
          <w:rFonts w:cs="Arial"/>
          <w:sz w:val="20"/>
          <w:szCs w:val="18"/>
          <w:lang w:val="en" w:eastAsia="en-GB"/>
        </w:rPr>
      </w:pPr>
      <w:r w:rsidRPr="00D355C5">
        <w:rPr>
          <w:rFonts w:cs="Arial"/>
          <w:sz w:val="20"/>
          <w:szCs w:val="18"/>
          <w:lang w:val="en" w:eastAsia="en-GB"/>
        </w:rPr>
        <w:t>4) SCF (Scientific Committee on Food), 2001. Report on composition and specification of food intended to meet the expenditure of intense muscular effort, especially for sportsmen. SCF/CS/NUT/SPORT/5.</w:t>
      </w:r>
    </w:p>
    <w:p w14:paraId="2CE19272" w14:textId="77777777" w:rsidR="0056363A" w:rsidRPr="00D355C5" w:rsidRDefault="0056363A" w:rsidP="00E02E25">
      <w:pPr>
        <w:widowControl/>
        <w:spacing w:before="120" w:after="120"/>
        <w:rPr>
          <w:rFonts w:cs="Arial"/>
          <w:sz w:val="20"/>
          <w:szCs w:val="18"/>
          <w:lang w:val="en" w:eastAsia="en-GB"/>
        </w:rPr>
      </w:pPr>
      <w:r w:rsidRPr="00D355C5">
        <w:rPr>
          <w:rFonts w:cs="Arial"/>
          <w:sz w:val="20"/>
          <w:szCs w:val="18"/>
          <w:lang w:val="en" w:eastAsia="en-GB"/>
        </w:rPr>
        <w:t>5) Sawka MN, Burke LM, Eichner ER, Maughan RJ, Montain SJ and Stachenfeld NS, 2007. American College of Sports Medicine position stand. Exercise and fluid replacement. Medicine and Science in Sports and Exercise, 39, 377-390.</w:t>
      </w:r>
    </w:p>
    <w:p w14:paraId="64BBFCD9" w14:textId="77777777" w:rsidR="0056363A" w:rsidRPr="00D355C5" w:rsidRDefault="0056363A" w:rsidP="00E02E25">
      <w:pPr>
        <w:widowControl/>
        <w:spacing w:before="120" w:after="120"/>
        <w:rPr>
          <w:rFonts w:cs="Arial"/>
          <w:sz w:val="20"/>
          <w:szCs w:val="18"/>
          <w:lang w:val="en" w:eastAsia="en-GB"/>
        </w:rPr>
      </w:pPr>
      <w:r w:rsidRPr="00D355C5">
        <w:rPr>
          <w:rFonts w:cs="Arial"/>
          <w:sz w:val="20"/>
          <w:szCs w:val="18"/>
          <w:lang w:val="en" w:eastAsia="en-GB"/>
        </w:rPr>
        <w:t>6) Rodriguez NR, Di Marco NM and Langley S, 2009. American College of Sports Medicine position stand. Nutrition and athletic performance. Medicine and Science in Sports and Exercise, 41, 709-731.</w:t>
      </w:r>
    </w:p>
    <w:p w14:paraId="1ADFFE14" w14:textId="77777777" w:rsidR="0056363A" w:rsidRPr="00D355C5" w:rsidRDefault="0056363A" w:rsidP="00E02E25">
      <w:pPr>
        <w:widowControl/>
        <w:spacing w:before="120" w:after="120"/>
        <w:rPr>
          <w:rFonts w:cs="Arial"/>
          <w:sz w:val="20"/>
          <w:szCs w:val="18"/>
          <w:lang w:val="en" w:eastAsia="en-GB"/>
        </w:rPr>
      </w:pPr>
      <w:r w:rsidRPr="00D355C5">
        <w:rPr>
          <w:rFonts w:cs="Arial"/>
          <w:sz w:val="20"/>
          <w:szCs w:val="18"/>
          <w:lang w:val="en" w:eastAsia="en-GB"/>
        </w:rPr>
        <w:t xml:space="preserve">7) Temesi J, Johnson NA, Raymond J, Burdon CA, O'Connor HT, 2011. Carbohydrate ingestion during endurance exercise improves performance in adults. Journal of Nutrition, 141, 890-7. </w:t>
      </w:r>
    </w:p>
    <w:p w14:paraId="3EC5800A" w14:textId="77777777" w:rsidR="003E4D3E" w:rsidRDefault="003E4D3E" w:rsidP="00424BD1">
      <w:pPr>
        <w:widowControl/>
        <w:spacing w:before="120" w:after="120"/>
        <w:rPr>
          <w:color w:val="FF0000"/>
        </w:rPr>
      </w:pPr>
      <w:r>
        <w:rPr>
          <w:color w:val="FF0000"/>
        </w:rPr>
        <w:br w:type="page"/>
      </w:r>
    </w:p>
    <w:p w14:paraId="3D2240DB" w14:textId="5DEAE1BC" w:rsidR="00C129FC" w:rsidRDefault="00E03395" w:rsidP="00E03395">
      <w:pPr>
        <w:pStyle w:val="Heading2"/>
      </w:pPr>
      <w:bookmarkStart w:id="321" w:name="_Toc60825031"/>
      <w:bookmarkStart w:id="322" w:name="_Toc61442332"/>
      <w:bookmarkStart w:id="323" w:name="_Toc61449876"/>
      <w:bookmarkStart w:id="324" w:name="_Toc63342520"/>
      <w:bookmarkStart w:id="325" w:name="_Toc71711657"/>
      <w:bookmarkStart w:id="326" w:name="_Toc72673591"/>
      <w:bookmarkEnd w:id="107"/>
      <w:bookmarkEnd w:id="108"/>
      <w:bookmarkEnd w:id="109"/>
      <w:bookmarkEnd w:id="110"/>
      <w:bookmarkEnd w:id="111"/>
      <w:bookmarkEnd w:id="112"/>
      <w:r>
        <w:lastRenderedPageBreak/>
        <w:t>Attachment A</w:t>
      </w:r>
      <w:r w:rsidRPr="00E03395">
        <w:t xml:space="preserve"> </w:t>
      </w:r>
      <w:r>
        <w:t xml:space="preserve">– </w:t>
      </w:r>
      <w:r w:rsidR="00951A67">
        <w:t xml:space="preserve">Example </w:t>
      </w:r>
      <w:r w:rsidR="00107CB3">
        <w:t xml:space="preserve">Amended </w:t>
      </w:r>
      <w:r w:rsidRPr="004E0CFB">
        <w:t>Draft variation to the Australia New Zealand Food Standards Code</w:t>
      </w:r>
      <w:bookmarkEnd w:id="321"/>
      <w:bookmarkEnd w:id="322"/>
      <w:bookmarkEnd w:id="323"/>
      <w:bookmarkEnd w:id="324"/>
      <w:bookmarkEnd w:id="325"/>
      <w:bookmarkEnd w:id="326"/>
      <w:r w:rsidRPr="004E0CFB">
        <w:t xml:space="preserve"> </w:t>
      </w:r>
    </w:p>
    <w:p w14:paraId="7FD72BE6" w14:textId="76DEA013" w:rsidR="001A1C59" w:rsidRDefault="001A1C59" w:rsidP="001A1C59">
      <w:pPr>
        <w:rPr>
          <w:lang w:bidi="ar-SA"/>
        </w:rPr>
      </w:pPr>
    </w:p>
    <w:p w14:paraId="5F77D8D2" w14:textId="77777777" w:rsidR="00CF3012" w:rsidRPr="00C0014E" w:rsidRDefault="00CF3012" w:rsidP="00CF3012">
      <w:pPr>
        <w:rPr>
          <w:noProof/>
          <w:sz w:val="20"/>
          <w:lang w:val="en-AU" w:eastAsia="en-AU"/>
        </w:rPr>
      </w:pPr>
      <w:r w:rsidRPr="00C0014E">
        <w:rPr>
          <w:noProof/>
          <w:sz w:val="20"/>
          <w:lang w:eastAsia="en-GB" w:bidi="ar-SA"/>
        </w:rPr>
        <w:drawing>
          <wp:inline distT="0" distB="0" distL="0" distR="0" wp14:anchorId="303C38A6" wp14:editId="11560C61">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13C5E807" w14:textId="77777777" w:rsidR="00CF3012" w:rsidRPr="006153A1" w:rsidRDefault="00CF3012" w:rsidP="00CF3012">
      <w:pPr>
        <w:pBdr>
          <w:bottom w:val="single" w:sz="4" w:space="1" w:color="auto"/>
        </w:pBdr>
        <w:rPr>
          <w:b/>
          <w:bCs/>
        </w:rPr>
      </w:pPr>
    </w:p>
    <w:p w14:paraId="2A631210" w14:textId="77777777" w:rsidR="00CF3012" w:rsidRDefault="00CF3012" w:rsidP="00CF3012">
      <w:pPr>
        <w:pBdr>
          <w:bottom w:val="single" w:sz="4" w:space="1" w:color="auto"/>
        </w:pBdr>
        <w:rPr>
          <w:b/>
          <w:sz w:val="20"/>
        </w:rPr>
      </w:pPr>
      <w:r w:rsidRPr="006153A1">
        <w:rPr>
          <w:b/>
          <w:sz w:val="20"/>
        </w:rPr>
        <w:t>Food Standards (</w:t>
      </w:r>
      <w:r w:rsidRPr="00F618DF">
        <w:rPr>
          <w:b/>
          <w:sz w:val="20"/>
        </w:rPr>
        <w:t>Proposal P</w:t>
      </w:r>
      <w:r>
        <w:rPr>
          <w:b/>
          <w:sz w:val="20"/>
        </w:rPr>
        <w:t>1030</w:t>
      </w:r>
      <w:r w:rsidRPr="00F618DF">
        <w:rPr>
          <w:b/>
          <w:sz w:val="20"/>
        </w:rPr>
        <w:t xml:space="preserve"> </w:t>
      </w:r>
      <w:r w:rsidRPr="00A32232">
        <w:rPr>
          <w:b/>
          <w:sz w:val="20"/>
        </w:rPr>
        <w:t xml:space="preserve">– </w:t>
      </w:r>
      <w:r>
        <w:rPr>
          <w:b/>
          <w:sz w:val="20"/>
        </w:rPr>
        <w:t>Composition and Labelling of Electrolyte Drinks)</w:t>
      </w:r>
      <w:r w:rsidRPr="00C0014E">
        <w:rPr>
          <w:b/>
          <w:sz w:val="20"/>
        </w:rPr>
        <w:t xml:space="preserve"> Variation</w:t>
      </w:r>
    </w:p>
    <w:p w14:paraId="35B8A829" w14:textId="77777777" w:rsidR="00CF3012" w:rsidRPr="00C0014E" w:rsidRDefault="00CF3012" w:rsidP="00CF3012">
      <w:pPr>
        <w:pBdr>
          <w:bottom w:val="single" w:sz="4" w:space="1" w:color="auto"/>
        </w:pBdr>
        <w:rPr>
          <w:b/>
          <w:sz w:val="20"/>
        </w:rPr>
      </w:pPr>
    </w:p>
    <w:p w14:paraId="0817F727" w14:textId="77777777" w:rsidR="00CF3012" w:rsidRPr="008F2616" w:rsidRDefault="00CF3012" w:rsidP="00CF3012">
      <w:pPr>
        <w:rPr>
          <w:sz w:val="20"/>
        </w:rPr>
      </w:pPr>
    </w:p>
    <w:p w14:paraId="1A7146DF" w14:textId="77777777" w:rsidR="00CF3012" w:rsidRPr="008F2616" w:rsidRDefault="00CF3012" w:rsidP="00CF3012">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06B8993B" w14:textId="77777777" w:rsidR="00CF3012" w:rsidRPr="008F2616" w:rsidRDefault="00CF3012" w:rsidP="00CF3012">
      <w:pPr>
        <w:rPr>
          <w:sz w:val="20"/>
        </w:rPr>
      </w:pPr>
    </w:p>
    <w:p w14:paraId="72DB1318" w14:textId="5AD10B88" w:rsidR="00CF3012" w:rsidRPr="0007791C" w:rsidRDefault="00CF3012" w:rsidP="00CF3012">
      <w:pPr>
        <w:rPr>
          <w:color w:val="FF0000"/>
          <w:sz w:val="20"/>
        </w:rPr>
      </w:pPr>
      <w:r w:rsidRPr="008F2616">
        <w:rPr>
          <w:sz w:val="20"/>
        </w:rPr>
        <w:t xml:space="preserve">Dated </w:t>
      </w:r>
      <w:r w:rsidRPr="0007791C">
        <w:rPr>
          <w:color w:val="FF0000"/>
          <w:sz w:val="20"/>
        </w:rPr>
        <w:t xml:space="preserve">[To be completed by </w:t>
      </w:r>
      <w:r w:rsidR="001C57CF">
        <w:rPr>
          <w:color w:val="FF0000"/>
          <w:sz w:val="20"/>
        </w:rPr>
        <w:t>the Delegate</w:t>
      </w:r>
      <w:r w:rsidRPr="0007791C">
        <w:rPr>
          <w:color w:val="FF0000"/>
          <w:sz w:val="20"/>
        </w:rPr>
        <w:t>]</w:t>
      </w:r>
    </w:p>
    <w:p w14:paraId="5978756E" w14:textId="77777777" w:rsidR="00CF3012" w:rsidRPr="008F2616" w:rsidRDefault="00CF3012" w:rsidP="00CF3012">
      <w:pPr>
        <w:rPr>
          <w:sz w:val="20"/>
        </w:rPr>
      </w:pPr>
    </w:p>
    <w:p w14:paraId="7D3DE495" w14:textId="77777777" w:rsidR="00CF3012" w:rsidRDefault="00CF3012" w:rsidP="00CF3012">
      <w:pPr>
        <w:rPr>
          <w:sz w:val="20"/>
        </w:rPr>
      </w:pPr>
    </w:p>
    <w:p w14:paraId="4A773059" w14:textId="77777777" w:rsidR="00CF3012" w:rsidRDefault="00CF3012" w:rsidP="00CF3012">
      <w:pPr>
        <w:rPr>
          <w:sz w:val="20"/>
        </w:rPr>
      </w:pPr>
    </w:p>
    <w:p w14:paraId="5986A8DD" w14:textId="77777777" w:rsidR="00CF3012" w:rsidRPr="008F2616" w:rsidRDefault="00CF3012" w:rsidP="00CF3012">
      <w:pPr>
        <w:rPr>
          <w:sz w:val="20"/>
        </w:rPr>
      </w:pPr>
    </w:p>
    <w:p w14:paraId="1E08FAA8" w14:textId="77777777" w:rsidR="00CF3012" w:rsidRPr="008F2616" w:rsidRDefault="00CF3012" w:rsidP="00CF3012">
      <w:pPr>
        <w:rPr>
          <w:sz w:val="20"/>
        </w:rPr>
      </w:pPr>
    </w:p>
    <w:p w14:paraId="5984C6BD" w14:textId="77777777" w:rsidR="00CF3012" w:rsidRPr="0007791C" w:rsidRDefault="00CF3012" w:rsidP="00CF3012">
      <w:pPr>
        <w:rPr>
          <w:color w:val="FF0000"/>
          <w:sz w:val="20"/>
        </w:rPr>
      </w:pPr>
      <w:r w:rsidRPr="0007791C">
        <w:rPr>
          <w:color w:val="FF0000"/>
          <w:sz w:val="20"/>
        </w:rPr>
        <w:t>[To be signed by Delegate]</w:t>
      </w:r>
    </w:p>
    <w:p w14:paraId="55C913FB" w14:textId="77777777" w:rsidR="00CF3012" w:rsidRPr="008F2616" w:rsidRDefault="00CF3012" w:rsidP="00CF3012">
      <w:pPr>
        <w:rPr>
          <w:sz w:val="20"/>
        </w:rPr>
      </w:pPr>
      <w:r w:rsidRPr="008F2616">
        <w:rPr>
          <w:sz w:val="20"/>
        </w:rPr>
        <w:t>Delegate of the Board of Food Standards Australia New Zealand</w:t>
      </w:r>
    </w:p>
    <w:p w14:paraId="1E105D6D" w14:textId="77777777" w:rsidR="00CF3012" w:rsidRDefault="00CF3012" w:rsidP="00CF3012">
      <w:pPr>
        <w:rPr>
          <w:sz w:val="20"/>
        </w:rPr>
      </w:pPr>
    </w:p>
    <w:p w14:paraId="74DCDEE2" w14:textId="77777777" w:rsidR="00CF3012" w:rsidRDefault="00CF3012" w:rsidP="00CF3012">
      <w:pPr>
        <w:rPr>
          <w:sz w:val="20"/>
        </w:rPr>
      </w:pPr>
    </w:p>
    <w:p w14:paraId="585F7E75" w14:textId="77777777" w:rsidR="00CF3012" w:rsidRDefault="00CF3012" w:rsidP="00CF3012">
      <w:pPr>
        <w:rPr>
          <w:sz w:val="20"/>
        </w:rPr>
      </w:pPr>
    </w:p>
    <w:p w14:paraId="6283402B" w14:textId="77777777" w:rsidR="00CF3012" w:rsidRDefault="00CF3012" w:rsidP="00CF3012">
      <w:pPr>
        <w:rPr>
          <w:sz w:val="20"/>
        </w:rPr>
      </w:pPr>
    </w:p>
    <w:p w14:paraId="6041A083" w14:textId="77777777" w:rsidR="00CF3012" w:rsidRDefault="00CF3012" w:rsidP="00CF3012">
      <w:pPr>
        <w:rPr>
          <w:sz w:val="20"/>
        </w:rPr>
      </w:pPr>
    </w:p>
    <w:p w14:paraId="339565CD" w14:textId="3096728E" w:rsidR="00CF3012" w:rsidRPr="00835019" w:rsidRDefault="00CF3012" w:rsidP="00CF3012">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Note:</w:t>
      </w:r>
    </w:p>
    <w:p w14:paraId="056F2DE3" w14:textId="77777777" w:rsidR="00CF3012" w:rsidRPr="00360C8F" w:rsidRDefault="00CF3012" w:rsidP="00CF3012">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15400AB9" w14:textId="77777777" w:rsidR="00CF3012" w:rsidRDefault="00CF3012" w:rsidP="00CF3012">
      <w:pPr>
        <w:rPr>
          <w:sz w:val="20"/>
        </w:rPr>
      </w:pPr>
    </w:p>
    <w:p w14:paraId="54E829F5" w14:textId="77777777" w:rsidR="00CF3012" w:rsidRDefault="00CF3012" w:rsidP="00CF3012">
      <w:pPr>
        <w:widowControl/>
        <w:rPr>
          <w:sz w:val="20"/>
        </w:rPr>
      </w:pPr>
      <w:r>
        <w:rPr>
          <w:sz w:val="20"/>
        </w:rPr>
        <w:br w:type="page"/>
      </w:r>
    </w:p>
    <w:p w14:paraId="6CB704E8" w14:textId="77777777" w:rsidR="006623C5" w:rsidRPr="005F585D" w:rsidRDefault="006623C5" w:rsidP="006623C5">
      <w:pPr>
        <w:pStyle w:val="FSCDraftingitemheading"/>
      </w:pPr>
      <w:r w:rsidRPr="00D433B1">
        <w:lastRenderedPageBreak/>
        <w:t>1</w:t>
      </w:r>
      <w:r w:rsidRPr="00D433B1">
        <w:tab/>
        <w:t>Name</w:t>
      </w:r>
    </w:p>
    <w:p w14:paraId="44442839" w14:textId="77777777" w:rsidR="006623C5" w:rsidRPr="00F618DF" w:rsidRDefault="006623C5" w:rsidP="006623C5">
      <w:pPr>
        <w:pStyle w:val="FSCDraftingitem"/>
      </w:pPr>
      <w:r w:rsidRPr="00DB170D">
        <w:t xml:space="preserve">This instrument is the </w:t>
      </w:r>
      <w:r w:rsidRPr="00792F7C">
        <w:rPr>
          <w:i/>
        </w:rPr>
        <w:t>Food Standards (</w:t>
      </w:r>
      <w:r w:rsidRPr="0007791C">
        <w:rPr>
          <w:i/>
        </w:rPr>
        <w:t>Proposal P10</w:t>
      </w:r>
      <w:r>
        <w:rPr>
          <w:i/>
        </w:rPr>
        <w:t>3</w:t>
      </w:r>
      <w:r w:rsidRPr="0007791C">
        <w:rPr>
          <w:i/>
        </w:rPr>
        <w:t xml:space="preserve">0 – Composition and </w:t>
      </w:r>
      <w:r>
        <w:rPr>
          <w:i/>
        </w:rPr>
        <w:t>L</w:t>
      </w:r>
      <w:r w:rsidRPr="0007791C">
        <w:rPr>
          <w:i/>
        </w:rPr>
        <w:t xml:space="preserve">abelling of </w:t>
      </w:r>
      <w:r>
        <w:rPr>
          <w:i/>
        </w:rPr>
        <w:t>E</w:t>
      </w:r>
      <w:r w:rsidRPr="0007791C">
        <w:rPr>
          <w:i/>
        </w:rPr>
        <w:t xml:space="preserve">lectrolyte </w:t>
      </w:r>
      <w:r>
        <w:rPr>
          <w:i/>
        </w:rPr>
        <w:t>D</w:t>
      </w:r>
      <w:r w:rsidRPr="0007791C">
        <w:rPr>
          <w:i/>
        </w:rPr>
        <w:t>rinks</w:t>
      </w:r>
      <w:r w:rsidRPr="00792F7C">
        <w:rPr>
          <w:i/>
        </w:rPr>
        <w:t>) Variation</w:t>
      </w:r>
      <w:r w:rsidRPr="00F618DF">
        <w:t>.</w:t>
      </w:r>
    </w:p>
    <w:p w14:paraId="05C7FAF0" w14:textId="77777777" w:rsidR="006623C5" w:rsidRPr="0007791C" w:rsidRDefault="006623C5" w:rsidP="006623C5">
      <w:pPr>
        <w:pStyle w:val="FSCDraftingitemheading"/>
      </w:pPr>
      <w:r w:rsidRPr="00D433B1">
        <w:t>2</w:t>
      </w:r>
      <w:r w:rsidRPr="00D433B1">
        <w:tab/>
        <w:t xml:space="preserve">Variation </w:t>
      </w:r>
      <w:r w:rsidRPr="0007791C">
        <w:t xml:space="preserve">to </w:t>
      </w:r>
      <w:r>
        <w:t>S</w:t>
      </w:r>
      <w:r w:rsidRPr="0007791C">
        <w:t xml:space="preserve">tandards in the </w:t>
      </w:r>
      <w:r w:rsidRPr="0007791C">
        <w:rPr>
          <w:i/>
        </w:rPr>
        <w:t>Australia New Zealand Food Standards Code</w:t>
      </w:r>
    </w:p>
    <w:p w14:paraId="63F26FB3" w14:textId="77777777" w:rsidR="006623C5" w:rsidRDefault="006623C5" w:rsidP="006623C5">
      <w:pPr>
        <w:pStyle w:val="FSCDraftingitem"/>
      </w:pPr>
      <w:r w:rsidRPr="0007791C">
        <w:t xml:space="preserve">The Schedule varies Standards in the </w:t>
      </w:r>
      <w:r w:rsidRPr="00792F7C">
        <w:rPr>
          <w:i/>
        </w:rPr>
        <w:t>Australia New Zealand Food Standards Code</w:t>
      </w:r>
      <w:r>
        <w:t>.</w:t>
      </w:r>
    </w:p>
    <w:p w14:paraId="66B40DCD" w14:textId="77777777" w:rsidR="006623C5" w:rsidRPr="00D433B1" w:rsidRDefault="006623C5" w:rsidP="006623C5">
      <w:pPr>
        <w:pStyle w:val="FSCDraftingitemheading"/>
      </w:pPr>
      <w:r w:rsidRPr="00D433B1">
        <w:t>3</w:t>
      </w:r>
      <w:r w:rsidRPr="00D433B1">
        <w:tab/>
        <w:t>Commencement</w:t>
      </w:r>
    </w:p>
    <w:p w14:paraId="24826145" w14:textId="77777777" w:rsidR="006623C5" w:rsidRDefault="006623C5" w:rsidP="006623C5">
      <w:pPr>
        <w:pStyle w:val="FSCDraftingitem"/>
      </w:pPr>
      <w:r>
        <w:t>The variation commenc</w:t>
      </w:r>
      <w:r w:rsidRPr="000055C4">
        <w:t>e</w:t>
      </w:r>
      <w:r>
        <w:t>s</w:t>
      </w:r>
      <w:r w:rsidRPr="000055C4">
        <w:t xml:space="preserve"> on</w:t>
      </w:r>
      <w:r>
        <w:t xml:space="preserve"> the date of gazettal.</w:t>
      </w:r>
    </w:p>
    <w:p w14:paraId="38DA47D8" w14:textId="77777777" w:rsidR="006623C5" w:rsidRPr="00A63AA5" w:rsidRDefault="006623C5" w:rsidP="006623C5">
      <w:pPr>
        <w:pStyle w:val="FSCDraftingitem"/>
        <w:rPr>
          <w:b/>
        </w:rPr>
      </w:pPr>
      <w:r w:rsidRPr="00A63AA5">
        <w:rPr>
          <w:b/>
        </w:rPr>
        <w:t>4</w:t>
      </w:r>
      <w:r w:rsidRPr="00A63AA5">
        <w:rPr>
          <w:b/>
        </w:rPr>
        <w:tab/>
        <w:t>Effect of the variations made by this instrument</w:t>
      </w:r>
    </w:p>
    <w:p w14:paraId="2902F0A7" w14:textId="77777777" w:rsidR="006623C5" w:rsidRPr="00A63AA5" w:rsidRDefault="006623C5" w:rsidP="006623C5">
      <w:pPr>
        <w:spacing w:before="120" w:after="120"/>
        <w:ind w:left="851" w:hanging="851"/>
        <w:rPr>
          <w:iCs/>
          <w:sz w:val="20"/>
          <w:lang w:eastAsia="en-AU"/>
        </w:rPr>
      </w:pPr>
      <w:r w:rsidRPr="00A63AA5">
        <w:rPr>
          <w:iCs/>
          <w:sz w:val="20"/>
          <w:lang w:eastAsia="en-AU"/>
        </w:rPr>
        <w:t>(1)</w:t>
      </w:r>
      <w:r w:rsidRPr="00A63AA5">
        <w:rPr>
          <w:iCs/>
          <w:sz w:val="20"/>
          <w:lang w:eastAsia="en-AU"/>
        </w:rPr>
        <w:tab/>
        <w:t>Section 1.1.1—9 of Standard 1.1.1 does not apply to the variations made by this instrument.</w:t>
      </w:r>
    </w:p>
    <w:p w14:paraId="70D6FF92" w14:textId="77777777" w:rsidR="006623C5" w:rsidRPr="00A63AA5" w:rsidRDefault="006623C5" w:rsidP="006623C5">
      <w:pPr>
        <w:spacing w:before="120" w:after="240"/>
        <w:ind w:left="851" w:hanging="851"/>
        <w:rPr>
          <w:iCs/>
          <w:sz w:val="20"/>
          <w:lang w:eastAsia="en-AU"/>
        </w:rPr>
      </w:pPr>
      <w:r w:rsidRPr="00A63AA5">
        <w:rPr>
          <w:iCs/>
          <w:sz w:val="20"/>
          <w:lang w:eastAsia="en-AU"/>
        </w:rPr>
        <w:t>(2)</w:t>
      </w:r>
      <w:r w:rsidRPr="00A63AA5">
        <w:rPr>
          <w:iCs/>
          <w:sz w:val="20"/>
          <w:lang w:eastAsia="en-AU"/>
        </w:rPr>
        <w:tab/>
        <w:t>During the transition period, a food product may be sold if the food product complies with one of the following:</w:t>
      </w:r>
    </w:p>
    <w:p w14:paraId="03177A21" w14:textId="77777777" w:rsidR="006623C5" w:rsidRPr="00A63AA5" w:rsidRDefault="006623C5" w:rsidP="006623C5">
      <w:pPr>
        <w:tabs>
          <w:tab w:val="left" w:pos="1418"/>
        </w:tabs>
        <w:ind w:left="851" w:hanging="1985"/>
        <w:rPr>
          <w:iCs/>
          <w:sz w:val="20"/>
          <w:lang w:eastAsia="en-AU"/>
        </w:rPr>
      </w:pPr>
      <w:r w:rsidRPr="00A63AA5">
        <w:rPr>
          <w:iCs/>
          <w:sz w:val="20"/>
          <w:lang w:eastAsia="en-AU"/>
        </w:rPr>
        <w:tab/>
        <w:t xml:space="preserve">(a) </w:t>
      </w:r>
      <w:r w:rsidRPr="00A63AA5">
        <w:rPr>
          <w:iCs/>
          <w:sz w:val="20"/>
          <w:lang w:eastAsia="en-AU"/>
        </w:rPr>
        <w:tab/>
        <w:t>the Code as in force without the variations made by this instrument; or</w:t>
      </w:r>
    </w:p>
    <w:p w14:paraId="36B501A8" w14:textId="77777777" w:rsidR="006623C5" w:rsidRPr="00A63AA5" w:rsidRDefault="006623C5" w:rsidP="006623C5">
      <w:pPr>
        <w:widowControl/>
        <w:tabs>
          <w:tab w:val="left" w:pos="1418"/>
          <w:tab w:val="left" w:pos="1843"/>
        </w:tabs>
        <w:spacing w:before="120" w:after="120"/>
        <w:ind w:left="993" w:hanging="142"/>
        <w:rPr>
          <w:rFonts w:cs="Arial"/>
          <w:iCs/>
          <w:sz w:val="20"/>
          <w:szCs w:val="22"/>
          <w:lang w:eastAsia="en-AU"/>
        </w:rPr>
      </w:pPr>
      <w:r w:rsidRPr="00A63AA5">
        <w:rPr>
          <w:rFonts w:cs="Arial"/>
          <w:iCs/>
          <w:sz w:val="20"/>
          <w:szCs w:val="22"/>
          <w:lang w:eastAsia="en-AU"/>
        </w:rPr>
        <w:t>(b)      the Code as amended by the variations made by this instrument.</w:t>
      </w:r>
    </w:p>
    <w:p w14:paraId="590D5051" w14:textId="77777777" w:rsidR="006623C5" w:rsidRDefault="006623C5" w:rsidP="006623C5">
      <w:pPr>
        <w:widowControl/>
        <w:tabs>
          <w:tab w:val="left" w:pos="1843"/>
        </w:tabs>
        <w:spacing w:before="120" w:after="120"/>
        <w:ind w:left="851" w:hanging="851"/>
        <w:rPr>
          <w:rFonts w:cs="Arial"/>
          <w:iCs/>
          <w:sz w:val="20"/>
          <w:szCs w:val="22"/>
          <w:lang w:eastAsia="en-AU"/>
        </w:rPr>
      </w:pPr>
      <w:r w:rsidRPr="00A63AA5">
        <w:rPr>
          <w:sz w:val="20"/>
        </w:rPr>
        <w:t>(</w:t>
      </w:r>
      <w:r>
        <w:rPr>
          <w:sz w:val="20"/>
        </w:rPr>
        <w:t>3</w:t>
      </w:r>
      <w:r w:rsidRPr="00A63AA5">
        <w:rPr>
          <w:sz w:val="20"/>
        </w:rPr>
        <w:t>)</w:t>
      </w:r>
      <w:r w:rsidRPr="00A63AA5">
        <w:rPr>
          <w:sz w:val="20"/>
        </w:rPr>
        <w:tab/>
      </w:r>
      <w:r w:rsidRPr="00A63AA5">
        <w:rPr>
          <w:rFonts w:cs="Arial"/>
          <w:iCs/>
          <w:sz w:val="20"/>
          <w:szCs w:val="22"/>
          <w:lang w:eastAsia="en-AU"/>
        </w:rPr>
        <w:t>For the purposes of this clause</w:t>
      </w:r>
      <w:r>
        <w:rPr>
          <w:rFonts w:cs="Arial"/>
          <w:b/>
          <w:iCs/>
          <w:sz w:val="20"/>
          <w:szCs w:val="22"/>
          <w:lang w:eastAsia="en-AU"/>
        </w:rPr>
        <w:t xml:space="preserve">, </w:t>
      </w:r>
      <w:r w:rsidRPr="00A63AA5">
        <w:rPr>
          <w:rFonts w:cs="Arial"/>
          <w:b/>
          <w:iCs/>
          <w:sz w:val="20"/>
          <w:szCs w:val="22"/>
          <w:lang w:eastAsia="en-AU"/>
        </w:rPr>
        <w:t>transition period</w:t>
      </w:r>
      <w:r w:rsidRPr="00A63AA5">
        <w:rPr>
          <w:rFonts w:cs="Arial"/>
          <w:iCs/>
          <w:sz w:val="20"/>
          <w:szCs w:val="22"/>
          <w:lang w:eastAsia="en-AU"/>
        </w:rPr>
        <w:t xml:space="preserve"> means the period commencing on the variation’s date of commencement and ending </w:t>
      </w:r>
      <w:r>
        <w:rPr>
          <w:rFonts w:cs="Arial"/>
          <w:iCs/>
          <w:sz w:val="20"/>
          <w:szCs w:val="22"/>
          <w:lang w:eastAsia="en-AU"/>
        </w:rPr>
        <w:t>12</w:t>
      </w:r>
      <w:r w:rsidRPr="00A63AA5">
        <w:rPr>
          <w:rFonts w:cs="Arial"/>
          <w:iCs/>
          <w:sz w:val="20"/>
          <w:szCs w:val="22"/>
          <w:lang w:eastAsia="en-AU"/>
        </w:rPr>
        <w:t xml:space="preserve"> months after the date of commencement</w:t>
      </w:r>
      <w:r>
        <w:rPr>
          <w:rFonts w:cs="Arial"/>
          <w:iCs/>
          <w:sz w:val="20"/>
          <w:szCs w:val="22"/>
          <w:lang w:eastAsia="en-AU"/>
        </w:rPr>
        <w:t>.</w:t>
      </w:r>
    </w:p>
    <w:p w14:paraId="6ECF0C70" w14:textId="77777777" w:rsidR="006623C5" w:rsidRPr="00A63AA5" w:rsidRDefault="006623C5" w:rsidP="006623C5">
      <w:pPr>
        <w:widowControl/>
        <w:tabs>
          <w:tab w:val="left" w:pos="1843"/>
        </w:tabs>
        <w:spacing w:before="120" w:after="120"/>
        <w:ind w:left="851" w:hanging="851"/>
        <w:rPr>
          <w:rFonts w:cs="Arial"/>
          <w:iCs/>
          <w:sz w:val="20"/>
          <w:szCs w:val="22"/>
          <w:lang w:eastAsia="en-AU"/>
        </w:rPr>
      </w:pPr>
    </w:p>
    <w:p w14:paraId="181D1CCD" w14:textId="77777777" w:rsidR="006623C5" w:rsidRPr="00D433B1" w:rsidRDefault="006623C5" w:rsidP="006623C5">
      <w:pPr>
        <w:jc w:val="center"/>
        <w:rPr>
          <w:b/>
          <w:sz w:val="20"/>
        </w:rPr>
      </w:pPr>
      <w:r w:rsidRPr="00D433B1">
        <w:rPr>
          <w:b/>
          <w:sz w:val="20"/>
        </w:rPr>
        <w:t>Schedule</w:t>
      </w:r>
    </w:p>
    <w:p w14:paraId="2FE69E8B" w14:textId="77777777" w:rsidR="006623C5" w:rsidRPr="00006191" w:rsidRDefault="006623C5" w:rsidP="006623C5">
      <w:pPr>
        <w:pStyle w:val="FSCDraftingitem"/>
      </w:pPr>
      <w:r w:rsidRPr="00DA14FC">
        <w:rPr>
          <w:b/>
          <w:lang w:bidi="en-US"/>
        </w:rPr>
        <w:t>[1]</w:t>
      </w:r>
      <w:r w:rsidRPr="00DA14FC">
        <w:rPr>
          <w:b/>
          <w:lang w:bidi="en-US"/>
        </w:rPr>
        <w:tab/>
      </w:r>
      <w:r w:rsidRPr="00006191">
        <w:rPr>
          <w:b/>
          <w:lang w:bidi="en-US"/>
        </w:rPr>
        <w:t>Standard 1.</w:t>
      </w:r>
      <w:r>
        <w:rPr>
          <w:b/>
          <w:lang w:bidi="en-US"/>
        </w:rPr>
        <w:t>1</w:t>
      </w:r>
      <w:r w:rsidRPr="00006191">
        <w:rPr>
          <w:b/>
          <w:lang w:bidi="en-US"/>
        </w:rPr>
        <w:t>.</w:t>
      </w:r>
      <w:r>
        <w:rPr>
          <w:b/>
          <w:lang w:bidi="en-US"/>
        </w:rPr>
        <w:t>2</w:t>
      </w:r>
      <w:r w:rsidRPr="00006191">
        <w:rPr>
          <w:lang w:bidi="en-US"/>
        </w:rPr>
        <w:t xml:space="preserve"> is varied by</w:t>
      </w:r>
      <w:r w:rsidRPr="00006191">
        <w:t xml:space="preserve"> omitting the definition of ‘electrolyte drink’ in subsection 1.1.2—3(2), substituting</w:t>
      </w:r>
    </w:p>
    <w:p w14:paraId="3D5D0B92" w14:textId="77777777" w:rsidR="006623C5" w:rsidRDefault="006623C5" w:rsidP="006623C5">
      <w:pPr>
        <w:pStyle w:val="FSCtDefn"/>
      </w:pPr>
      <w:r w:rsidRPr="003C5A28">
        <w:rPr>
          <w:b/>
          <w:i/>
        </w:rPr>
        <w:t>electrolyte drink</w:t>
      </w:r>
      <w:r w:rsidRPr="003C5A28">
        <w:t xml:space="preserve"> means</w:t>
      </w:r>
      <w:r>
        <w:t xml:space="preserve"> a drink formulated for the rapid replacement of fluid and electrolytes during or after 60 minutes or more of strenuous physical activity.</w:t>
      </w:r>
    </w:p>
    <w:p w14:paraId="3591A80C" w14:textId="77777777" w:rsidR="006623C5" w:rsidRDefault="006623C5" w:rsidP="006623C5">
      <w:pPr>
        <w:pStyle w:val="FSCDraftingitem"/>
        <w:rPr>
          <w:lang w:bidi="en-US"/>
        </w:rPr>
      </w:pPr>
      <w:r>
        <w:rPr>
          <w:b/>
        </w:rPr>
        <w:t>[2]</w:t>
      </w:r>
      <w:r>
        <w:rPr>
          <w:b/>
        </w:rPr>
        <w:tab/>
      </w:r>
      <w:r w:rsidRPr="00006191">
        <w:rPr>
          <w:b/>
          <w:lang w:bidi="en-US"/>
        </w:rPr>
        <w:t>Standard 1.</w:t>
      </w:r>
      <w:r>
        <w:rPr>
          <w:b/>
          <w:lang w:bidi="en-US"/>
        </w:rPr>
        <w:t>2</w:t>
      </w:r>
      <w:r w:rsidRPr="00006191">
        <w:rPr>
          <w:b/>
          <w:lang w:bidi="en-US"/>
        </w:rPr>
        <w:t>.</w:t>
      </w:r>
      <w:r>
        <w:rPr>
          <w:b/>
          <w:lang w:bidi="en-US"/>
        </w:rPr>
        <w:t>1</w:t>
      </w:r>
      <w:r w:rsidRPr="00006191">
        <w:rPr>
          <w:lang w:bidi="en-US"/>
        </w:rPr>
        <w:t xml:space="preserve"> is varied by</w:t>
      </w:r>
      <w:r>
        <w:rPr>
          <w:lang w:bidi="en-US"/>
        </w:rPr>
        <w:t xml:space="preserve"> omitting paragraph 1.2.1—8(1)(t), substituting</w:t>
      </w:r>
    </w:p>
    <w:p w14:paraId="2FE89D31" w14:textId="6BDA521B" w:rsidR="006623C5" w:rsidRDefault="006623C5" w:rsidP="006623C5">
      <w:pPr>
        <w:pStyle w:val="FSCtPara"/>
        <w:tabs>
          <w:tab w:val="clear" w:pos="1701"/>
        </w:tabs>
        <w:ind w:left="1418" w:hanging="567"/>
        <w:rPr>
          <w:color w:val="FF0000"/>
        </w:rPr>
      </w:pPr>
      <w:r w:rsidRPr="00BE716A">
        <w:t>(t)</w:t>
      </w:r>
      <w:r w:rsidRPr="00BE716A">
        <w:tab/>
        <w:t xml:space="preserve">the declarations and other information </w:t>
      </w:r>
      <w:r>
        <w:t xml:space="preserve">required </w:t>
      </w:r>
      <w:r w:rsidRPr="00BE716A">
        <w:t>for electrolyte drinks and for electrolyte drink bases (see Standard 2.6.2);</w:t>
      </w:r>
      <w:r w:rsidRPr="009C5952">
        <w:rPr>
          <w:color w:val="FF0000"/>
        </w:rPr>
        <w:tab/>
      </w:r>
    </w:p>
    <w:p w14:paraId="09E3298F" w14:textId="77777777" w:rsidR="006623C5" w:rsidRDefault="006623C5" w:rsidP="006623C5">
      <w:pPr>
        <w:pStyle w:val="FSCDraftingitem"/>
      </w:pPr>
      <w:r w:rsidRPr="00006191">
        <w:rPr>
          <w:b/>
        </w:rPr>
        <w:t>[</w:t>
      </w:r>
      <w:r>
        <w:rPr>
          <w:b/>
        </w:rPr>
        <w:t>3</w:t>
      </w:r>
      <w:r w:rsidRPr="00006191">
        <w:rPr>
          <w:b/>
        </w:rPr>
        <w:t>]</w:t>
      </w:r>
      <w:r w:rsidRPr="00006191">
        <w:rPr>
          <w:b/>
        </w:rPr>
        <w:tab/>
        <w:t>Standard 2.6.2</w:t>
      </w:r>
      <w:r>
        <w:t xml:space="preserve"> is varied by</w:t>
      </w:r>
    </w:p>
    <w:p w14:paraId="6ABE14BC" w14:textId="77777777" w:rsidR="006623C5" w:rsidRDefault="006623C5" w:rsidP="006623C5">
      <w:pPr>
        <w:pStyle w:val="FSCDraftingitem"/>
      </w:pPr>
      <w:r>
        <w:t>[3.1]</w:t>
      </w:r>
      <w:r>
        <w:tab/>
        <w:t xml:space="preserve">inserting after Note 2 to </w:t>
      </w:r>
      <w:r w:rsidRPr="003176A6">
        <w:t>the Standard</w:t>
      </w:r>
    </w:p>
    <w:p w14:paraId="192E5C92" w14:textId="77777777" w:rsidR="006623C5" w:rsidRDefault="006623C5" w:rsidP="006623C5">
      <w:pPr>
        <w:pStyle w:val="FSCh4Div"/>
      </w:pPr>
      <w:r>
        <w:t>Division 1</w:t>
      </w:r>
      <w:r>
        <w:tab/>
        <w:t>Preliminary</w:t>
      </w:r>
    </w:p>
    <w:p w14:paraId="22A21293" w14:textId="77777777" w:rsidR="006623C5" w:rsidRDefault="006623C5" w:rsidP="006623C5">
      <w:pPr>
        <w:pStyle w:val="FSCDraftingitem"/>
      </w:pPr>
      <w:r>
        <w:t>[3.2]</w:t>
      </w:r>
      <w:r>
        <w:tab/>
        <w:t>omitting section 2.6.2—2, substituting</w:t>
      </w:r>
    </w:p>
    <w:p w14:paraId="3EAF5A75" w14:textId="77777777" w:rsidR="006623C5" w:rsidRPr="00D81385" w:rsidRDefault="006623C5" w:rsidP="006623C5">
      <w:pPr>
        <w:keepNext/>
        <w:spacing w:before="240" w:after="120"/>
        <w:ind w:left="1701" w:hanging="1701"/>
        <w:outlineLvl w:val="4"/>
        <w:rPr>
          <w:b/>
          <w:bCs/>
          <w:kern w:val="32"/>
          <w:lang w:eastAsia="en-GB"/>
        </w:rPr>
      </w:pPr>
      <w:bookmarkStart w:id="327" w:name="_Toc400032201"/>
      <w:bookmarkStart w:id="328" w:name="_Toc371505585"/>
      <w:r w:rsidRPr="00D81385">
        <w:rPr>
          <w:b/>
          <w:bCs/>
          <w:kern w:val="32"/>
          <w:lang w:eastAsia="en-GB"/>
        </w:rPr>
        <w:t>2.6.2—2</w:t>
      </w:r>
      <w:r w:rsidRPr="00D81385">
        <w:rPr>
          <w:b/>
          <w:bCs/>
          <w:kern w:val="32"/>
          <w:lang w:eastAsia="en-GB"/>
        </w:rPr>
        <w:tab/>
        <w:t>Definitions</w:t>
      </w:r>
      <w:bookmarkEnd w:id="327"/>
      <w:bookmarkEnd w:id="328"/>
    </w:p>
    <w:p w14:paraId="682E182A" w14:textId="77777777" w:rsidR="006623C5" w:rsidRPr="00D81385" w:rsidRDefault="006623C5" w:rsidP="006623C5">
      <w:pPr>
        <w:pStyle w:val="FSCnMain"/>
        <w:tabs>
          <w:tab w:val="clear" w:pos="1701"/>
          <w:tab w:val="left" w:pos="851"/>
        </w:tabs>
      </w:pPr>
      <w:r w:rsidRPr="00D81385">
        <w:rPr>
          <w:b/>
          <w:i/>
        </w:rPr>
        <w:t>Note</w:t>
      </w:r>
      <w:r>
        <w:rPr>
          <w:b/>
          <w:i/>
        </w:rPr>
        <w:t xml:space="preserve"> 1</w:t>
      </w:r>
      <w:r w:rsidRPr="00D81385">
        <w:tab/>
        <w:t>In this Code (see section 1.1.2—</w:t>
      </w:r>
      <w:r>
        <w:t>2</w:t>
      </w:r>
      <w:r w:rsidRPr="00D81385">
        <w:t>):</w:t>
      </w:r>
    </w:p>
    <w:p w14:paraId="4B61DF0B" w14:textId="77777777" w:rsidR="006623C5" w:rsidRDefault="006623C5" w:rsidP="006623C5">
      <w:pPr>
        <w:pStyle w:val="FSCnMain"/>
        <w:ind w:left="1701" w:hanging="1701"/>
      </w:pPr>
      <w:r>
        <w:rPr>
          <w:b/>
          <w:i/>
        </w:rPr>
        <w:tab/>
      </w:r>
      <w:r w:rsidRPr="008954D3">
        <w:rPr>
          <w:b/>
          <w:i/>
        </w:rPr>
        <w:t>average quantity</w:t>
      </w:r>
      <w:r w:rsidRPr="008954D3">
        <w:t>,</w:t>
      </w:r>
      <w:r w:rsidRPr="00043854">
        <w:rPr>
          <w:i/>
        </w:rPr>
        <w:t xml:space="preserve"> </w:t>
      </w:r>
      <w:r w:rsidRPr="00043854">
        <w:t>of a substance in a food, means the average, for such foods from that producer or manufacturer, of:</w:t>
      </w:r>
    </w:p>
    <w:p w14:paraId="04B69665" w14:textId="77777777" w:rsidR="006623C5" w:rsidRDefault="006623C5" w:rsidP="006623C5">
      <w:pPr>
        <w:pStyle w:val="FSCnMain"/>
        <w:tabs>
          <w:tab w:val="clear" w:pos="1701"/>
          <w:tab w:val="left" w:pos="1985"/>
        </w:tabs>
        <w:ind w:left="1985" w:hanging="284"/>
      </w:pPr>
      <w:r>
        <w:t>(a)</w:t>
      </w:r>
      <w:r>
        <w:tab/>
        <w:t>where a serving or reference amount is specified—the amount of the substance that such a serving or reference amount contains; or</w:t>
      </w:r>
    </w:p>
    <w:p w14:paraId="6BB45BA8" w14:textId="77777777" w:rsidR="006623C5" w:rsidRDefault="006623C5" w:rsidP="006623C5">
      <w:pPr>
        <w:pStyle w:val="FSCnMain"/>
        <w:tabs>
          <w:tab w:val="clear" w:pos="1701"/>
          <w:tab w:val="left" w:pos="1985"/>
          <w:tab w:val="left" w:pos="2268"/>
        </w:tabs>
        <w:ind w:left="3402" w:hanging="1701"/>
      </w:pPr>
      <w:r>
        <w:t>(b)</w:t>
      </w:r>
      <w:r>
        <w:tab/>
        <w:t>otherwise—the proportion of that substance in the food, expressed as a percentage.</w:t>
      </w:r>
    </w:p>
    <w:p w14:paraId="012D3A5D" w14:textId="77777777" w:rsidR="006623C5" w:rsidRPr="00043854" w:rsidRDefault="006623C5" w:rsidP="006623C5">
      <w:pPr>
        <w:pStyle w:val="FSCnMain"/>
        <w:tabs>
          <w:tab w:val="clear" w:pos="1701"/>
          <w:tab w:val="left" w:pos="2268"/>
        </w:tabs>
        <w:ind w:hanging="1701"/>
      </w:pPr>
      <w:r>
        <w:tab/>
      </w:r>
      <w:r w:rsidRPr="00D37D28">
        <w:rPr>
          <w:b/>
          <w:i/>
        </w:rPr>
        <w:t>Note</w:t>
      </w:r>
      <w:r>
        <w:t xml:space="preserve"> See also section 1.1.1—6.</w:t>
      </w:r>
    </w:p>
    <w:p w14:paraId="3F24BEDA" w14:textId="77777777" w:rsidR="006623C5" w:rsidRPr="004F39FB" w:rsidRDefault="006623C5" w:rsidP="006623C5">
      <w:pPr>
        <w:pStyle w:val="FSCnMain"/>
        <w:ind w:left="1701" w:hanging="1701"/>
        <w:rPr>
          <w:b/>
          <w:i/>
        </w:rPr>
      </w:pPr>
      <w:r>
        <w:rPr>
          <w:b/>
          <w:i/>
        </w:rPr>
        <w:tab/>
      </w:r>
      <w:r w:rsidRPr="004F39FB">
        <w:rPr>
          <w:b/>
          <w:i/>
        </w:rPr>
        <w:t xml:space="preserve">claim </w:t>
      </w:r>
      <w:r w:rsidRPr="004F39FB">
        <w:t>means an express or implied statement, representation, design or information in relation to a food or a property of food which is not mandatory in this Code.</w:t>
      </w:r>
      <w:r w:rsidRPr="004F39FB">
        <w:rPr>
          <w:b/>
          <w:i/>
        </w:rPr>
        <w:t xml:space="preserve"> </w:t>
      </w:r>
    </w:p>
    <w:p w14:paraId="7FBA8C75" w14:textId="77777777" w:rsidR="006623C5" w:rsidRPr="00210099" w:rsidRDefault="006623C5" w:rsidP="006623C5">
      <w:pPr>
        <w:pStyle w:val="FSCnMain"/>
        <w:ind w:left="1701"/>
        <w:rPr>
          <w:b/>
          <w:i/>
        </w:rPr>
      </w:pPr>
      <w:r>
        <w:tab/>
      </w:r>
      <w:r>
        <w:rPr>
          <w:b/>
          <w:i/>
        </w:rPr>
        <w:tab/>
      </w:r>
      <w:r w:rsidRPr="00210099">
        <w:rPr>
          <w:b/>
          <w:bCs/>
          <w:i/>
          <w:iCs/>
        </w:rPr>
        <w:t>claim requiring nutrition information</w:t>
      </w:r>
      <w:r w:rsidRPr="00210099">
        <w:rPr>
          <w:b/>
          <w:i/>
        </w:rPr>
        <w:t xml:space="preserve">: </w:t>
      </w:r>
    </w:p>
    <w:p w14:paraId="32AB52F3" w14:textId="77777777" w:rsidR="006623C5" w:rsidRPr="00210099" w:rsidRDefault="006623C5" w:rsidP="006623C5">
      <w:pPr>
        <w:pStyle w:val="FSCnMain"/>
        <w:ind w:left="3969"/>
      </w:pPr>
      <w:r w:rsidRPr="00210099">
        <w:t xml:space="preserve">(a) means: </w:t>
      </w:r>
    </w:p>
    <w:p w14:paraId="719A0439" w14:textId="77777777" w:rsidR="006623C5" w:rsidRPr="00210099" w:rsidRDefault="006623C5" w:rsidP="006623C5">
      <w:pPr>
        <w:pStyle w:val="FSCnMain"/>
        <w:ind w:left="3969" w:hanging="1984"/>
      </w:pPr>
      <w:r w:rsidRPr="00210099">
        <w:t xml:space="preserve">(i) a nutrition content claim; or </w:t>
      </w:r>
    </w:p>
    <w:p w14:paraId="3CA0F7A4" w14:textId="77777777" w:rsidR="006623C5" w:rsidRPr="00210099" w:rsidRDefault="006623C5" w:rsidP="006623C5">
      <w:pPr>
        <w:pStyle w:val="FSCnMain"/>
        <w:ind w:left="3969" w:hanging="1984"/>
      </w:pPr>
      <w:r w:rsidRPr="00210099">
        <w:lastRenderedPageBreak/>
        <w:t xml:space="preserve">(ii) a health claim; and </w:t>
      </w:r>
    </w:p>
    <w:p w14:paraId="06492F04" w14:textId="77777777" w:rsidR="006623C5" w:rsidRPr="00210099" w:rsidRDefault="006623C5" w:rsidP="006623C5">
      <w:pPr>
        <w:pStyle w:val="FSCnMain"/>
        <w:ind w:left="3969"/>
      </w:pPr>
      <w:r w:rsidRPr="00210099">
        <w:t xml:space="preserve">(b) does not include: </w:t>
      </w:r>
    </w:p>
    <w:p w14:paraId="409D572A" w14:textId="77777777" w:rsidR="006623C5" w:rsidRPr="00210099" w:rsidRDefault="006623C5" w:rsidP="006623C5">
      <w:pPr>
        <w:pStyle w:val="FSCnMain"/>
        <w:ind w:left="3969" w:hanging="1984"/>
      </w:pPr>
      <w:r w:rsidRPr="00210099">
        <w:t xml:space="preserve">(i) a declaration that is required by an application Act; or </w:t>
      </w:r>
    </w:p>
    <w:p w14:paraId="6F25AE43" w14:textId="77777777" w:rsidR="006623C5" w:rsidRPr="00210099" w:rsidRDefault="006623C5" w:rsidP="006623C5">
      <w:pPr>
        <w:pStyle w:val="FSCnMain"/>
        <w:ind w:left="3969" w:hanging="1984"/>
      </w:pPr>
      <w:r w:rsidRPr="00210099">
        <w:t xml:space="preserve">(ii) an endorsement; or </w:t>
      </w:r>
    </w:p>
    <w:p w14:paraId="139B2F89" w14:textId="77777777" w:rsidR="006623C5" w:rsidRPr="00210099" w:rsidRDefault="006623C5" w:rsidP="006623C5">
      <w:pPr>
        <w:pStyle w:val="FSCnMain"/>
        <w:ind w:left="3969" w:hanging="1984"/>
        <w:rPr>
          <w:i/>
        </w:rPr>
      </w:pPr>
      <w:r w:rsidRPr="00210099">
        <w:t>(iii) a *prescribed beverage gluten free claim.</w:t>
      </w:r>
    </w:p>
    <w:p w14:paraId="437B6386" w14:textId="77777777" w:rsidR="006623C5" w:rsidRPr="00001F54" w:rsidRDefault="006623C5" w:rsidP="006623C5">
      <w:pPr>
        <w:pStyle w:val="FSCnMain"/>
        <w:ind w:left="1701"/>
      </w:pPr>
      <w:r>
        <w:rPr>
          <w:b/>
          <w:i/>
        </w:rPr>
        <w:tab/>
      </w:r>
      <w:r w:rsidRPr="00001F54">
        <w:rPr>
          <w:b/>
          <w:i/>
        </w:rPr>
        <w:t xml:space="preserve">health claim </w:t>
      </w:r>
      <w:r w:rsidRPr="00001F54">
        <w:t xml:space="preserve">means a claim which states, suggests or implies that a food or a property of food has, or may have, a health effect. </w:t>
      </w:r>
    </w:p>
    <w:p w14:paraId="6FA5F3D4" w14:textId="77777777" w:rsidR="006623C5" w:rsidRDefault="006623C5" w:rsidP="006623C5">
      <w:pPr>
        <w:pStyle w:val="FSCnPara"/>
      </w:pPr>
      <w:r w:rsidRPr="00001F54">
        <w:tab/>
      </w:r>
      <w:r w:rsidRPr="00FB5FC8">
        <w:rPr>
          <w:b/>
          <w:i/>
        </w:rPr>
        <w:t>Note</w:t>
      </w:r>
      <w:r w:rsidRPr="00001F54">
        <w:t xml:space="preserve"> See also subsection 2.10.2—8(3).</w:t>
      </w:r>
    </w:p>
    <w:p w14:paraId="4C87F849" w14:textId="77777777" w:rsidR="006623C5" w:rsidRDefault="006623C5" w:rsidP="006623C5">
      <w:pPr>
        <w:pStyle w:val="FSCnMain"/>
        <w:tabs>
          <w:tab w:val="clear" w:pos="1701"/>
          <w:tab w:val="left" w:pos="851"/>
        </w:tabs>
        <w:ind w:hanging="566"/>
      </w:pPr>
      <w:r w:rsidRPr="00C76EFB">
        <w:rPr>
          <w:b/>
          <w:i/>
        </w:rPr>
        <w:t>nutrition content claim</w:t>
      </w:r>
      <w:r w:rsidRPr="00C76EFB">
        <w:t>—see section 1.1.2—9.</w:t>
      </w:r>
    </w:p>
    <w:p w14:paraId="174CF47E" w14:textId="77777777" w:rsidR="006623C5" w:rsidRPr="00B573FB" w:rsidRDefault="006623C5" w:rsidP="006623C5">
      <w:pPr>
        <w:pStyle w:val="FSCnMain"/>
        <w:ind w:hanging="566"/>
        <w:rPr>
          <w:b/>
          <w:i/>
        </w:rPr>
      </w:pPr>
      <w:r w:rsidRPr="00B573FB">
        <w:rPr>
          <w:b/>
          <w:i/>
        </w:rPr>
        <w:t>package:</w:t>
      </w:r>
    </w:p>
    <w:p w14:paraId="7E4C55CB" w14:textId="77777777" w:rsidR="006623C5" w:rsidRPr="0064695E" w:rsidRDefault="006623C5" w:rsidP="006623C5">
      <w:pPr>
        <w:pStyle w:val="FSCnMain"/>
        <w:ind w:left="1985" w:hanging="708"/>
      </w:pPr>
      <w:r>
        <w:tab/>
      </w:r>
      <w:r w:rsidRPr="0064695E">
        <w:t>(a) means any container or wrapper in or by which food for sale is wholly or partly encased, covered, enclosed, contained or packaged; and</w:t>
      </w:r>
    </w:p>
    <w:p w14:paraId="51844CA6" w14:textId="77777777" w:rsidR="006623C5" w:rsidRPr="0064695E" w:rsidRDefault="006623C5" w:rsidP="006623C5">
      <w:pPr>
        <w:pStyle w:val="FSCnMain"/>
        <w:ind w:left="1985" w:hanging="708"/>
      </w:pPr>
      <w:r>
        <w:tab/>
      </w:r>
      <w:r w:rsidRPr="0064695E">
        <w:t>(b) if food is carried or sold or intended to be carried and sold in more than one package—includes each package; and</w:t>
      </w:r>
    </w:p>
    <w:p w14:paraId="5B7D588A" w14:textId="77777777" w:rsidR="006623C5" w:rsidRPr="0064695E" w:rsidRDefault="006623C5" w:rsidP="006623C5">
      <w:pPr>
        <w:pStyle w:val="FSCnMain"/>
        <w:ind w:hanging="566"/>
      </w:pPr>
      <w:r w:rsidRPr="0064695E">
        <w:t>(c) does not include:</w:t>
      </w:r>
    </w:p>
    <w:p w14:paraId="72BA96F9" w14:textId="77777777" w:rsidR="006623C5" w:rsidRPr="0064695E" w:rsidRDefault="006623C5" w:rsidP="006623C5">
      <w:pPr>
        <w:pStyle w:val="FSCnMain"/>
        <w:ind w:hanging="283"/>
      </w:pPr>
      <w:r w:rsidRPr="0064695E">
        <w:t>(i) a *bulk cargo container; or</w:t>
      </w:r>
    </w:p>
    <w:p w14:paraId="7B3EBD6C" w14:textId="77777777" w:rsidR="006623C5" w:rsidRPr="0064695E" w:rsidRDefault="006623C5" w:rsidP="006623C5">
      <w:pPr>
        <w:pStyle w:val="FSCnMain"/>
        <w:ind w:hanging="283"/>
      </w:pPr>
      <w:r w:rsidRPr="0064695E">
        <w:t>(ii) a pallet overwrap; or</w:t>
      </w:r>
    </w:p>
    <w:p w14:paraId="30F5D8E3" w14:textId="77777777" w:rsidR="006623C5" w:rsidRPr="0064695E" w:rsidRDefault="006623C5" w:rsidP="006623C5">
      <w:pPr>
        <w:pStyle w:val="FSCnMain"/>
        <w:ind w:hanging="283"/>
      </w:pPr>
      <w:r w:rsidRPr="0064695E">
        <w:t>(iii) a crate and packages which do not obscure labels on the food; or</w:t>
      </w:r>
    </w:p>
    <w:p w14:paraId="628E51A8" w14:textId="77777777" w:rsidR="006623C5" w:rsidRPr="0064695E" w:rsidRDefault="006623C5" w:rsidP="006623C5">
      <w:pPr>
        <w:pStyle w:val="FSCnMain"/>
        <w:ind w:hanging="283"/>
      </w:pPr>
      <w:r w:rsidRPr="0064695E">
        <w:t>(iv) a transportation vehicle; or</w:t>
      </w:r>
    </w:p>
    <w:p w14:paraId="08DF8808" w14:textId="77777777" w:rsidR="006623C5" w:rsidRPr="0064695E" w:rsidRDefault="006623C5" w:rsidP="006623C5">
      <w:pPr>
        <w:pStyle w:val="FSCnMain"/>
        <w:ind w:hanging="283"/>
      </w:pPr>
      <w:r w:rsidRPr="0064695E">
        <w:t>(v) a vending machine; or</w:t>
      </w:r>
    </w:p>
    <w:p w14:paraId="027240E6" w14:textId="77777777" w:rsidR="006623C5" w:rsidRPr="0064695E" w:rsidRDefault="006623C5" w:rsidP="006623C5">
      <w:pPr>
        <w:pStyle w:val="FSCnMain"/>
        <w:ind w:hanging="283"/>
      </w:pPr>
      <w:r w:rsidRPr="0064695E">
        <w:t>(vi) a hamper; or</w:t>
      </w:r>
    </w:p>
    <w:p w14:paraId="74306E8D" w14:textId="77777777" w:rsidR="006623C5" w:rsidRPr="0064695E" w:rsidRDefault="006623C5" w:rsidP="006623C5">
      <w:pPr>
        <w:pStyle w:val="FSCnMain"/>
        <w:ind w:left="1985" w:firstLine="0"/>
      </w:pPr>
      <w:r w:rsidRPr="0064695E">
        <w:t>(vii) a container or wrapper (including a covered plate, cup, tray or other food container) in which food is served in a prison, hospital or *medical institution; or</w:t>
      </w:r>
    </w:p>
    <w:p w14:paraId="010DFD82" w14:textId="77777777" w:rsidR="006623C5" w:rsidRPr="0064695E" w:rsidRDefault="006623C5" w:rsidP="006623C5">
      <w:pPr>
        <w:pStyle w:val="FSCnMain"/>
        <w:tabs>
          <w:tab w:val="clear" w:pos="1701"/>
          <w:tab w:val="left" w:pos="851"/>
        </w:tabs>
        <w:ind w:left="1985" w:firstLine="0"/>
      </w:pPr>
      <w:r w:rsidRPr="0064695E">
        <w:t>(viii) for Standard 2.9.5—a covered plate, cup, tray or other food container in which food for special medical purposes is served by a *responsible institution to a patient or resident.</w:t>
      </w:r>
    </w:p>
    <w:p w14:paraId="10C30606" w14:textId="77777777" w:rsidR="006623C5" w:rsidRPr="001E7FAE" w:rsidRDefault="006623C5" w:rsidP="006623C5">
      <w:pPr>
        <w:pStyle w:val="Default"/>
        <w:ind w:left="1702"/>
        <w:rPr>
          <w:rFonts w:ascii="Arial" w:hAnsi="Arial" w:cs="Arial"/>
          <w:color w:val="auto"/>
          <w:sz w:val="16"/>
          <w:szCs w:val="18"/>
          <w:lang w:eastAsia="en-AU"/>
        </w:rPr>
      </w:pPr>
      <w:r w:rsidRPr="001E7FAE">
        <w:rPr>
          <w:rFonts w:ascii="Arial" w:hAnsi="Arial" w:cs="Arial"/>
          <w:b/>
          <w:i/>
          <w:color w:val="auto"/>
          <w:sz w:val="16"/>
          <w:szCs w:val="18"/>
          <w:lang w:eastAsia="en-AU"/>
        </w:rPr>
        <w:t>prescribed name</w:t>
      </w:r>
      <w:r w:rsidRPr="001E7FAE">
        <w:rPr>
          <w:rFonts w:ascii="Arial" w:hAnsi="Arial" w:cs="Arial"/>
          <w:color w:val="auto"/>
          <w:sz w:val="16"/>
          <w:szCs w:val="18"/>
          <w:lang w:eastAsia="en-AU"/>
        </w:rPr>
        <w:t xml:space="preserve">, of a particular food, means a name declared by a provision of this Code to be the prescribed name of the food. </w:t>
      </w:r>
    </w:p>
    <w:p w14:paraId="24CAC496" w14:textId="77777777" w:rsidR="006623C5" w:rsidRDefault="006623C5" w:rsidP="006623C5">
      <w:pPr>
        <w:pStyle w:val="FSCnMain"/>
        <w:ind w:hanging="566"/>
        <w:rPr>
          <w:b/>
          <w:i/>
        </w:rPr>
      </w:pPr>
      <w:r>
        <w:rPr>
          <w:b/>
          <w:bCs/>
          <w:i/>
          <w:iCs/>
          <w:color w:val="000000"/>
          <w:szCs w:val="16"/>
          <w:lang w:eastAsia="en-GB"/>
        </w:rPr>
        <w:tab/>
      </w:r>
      <w:r w:rsidRPr="008B0932">
        <w:rPr>
          <w:b/>
          <w:bCs/>
          <w:i/>
          <w:iCs/>
          <w:color w:val="000000"/>
          <w:szCs w:val="16"/>
          <w:lang w:eastAsia="en-GB"/>
        </w:rPr>
        <w:t xml:space="preserve">Note </w:t>
      </w:r>
      <w:r w:rsidRPr="008B0932">
        <w:rPr>
          <w:color w:val="000000"/>
          <w:szCs w:val="16"/>
          <w:lang w:eastAsia="en-GB"/>
        </w:rPr>
        <w:t>Under the labelling provisions in Standard 1.2.1 and section 1.2.2—2, if a food has a prescribed name, it must be used in the labelling of the food.</w:t>
      </w:r>
    </w:p>
    <w:p w14:paraId="11E47A83" w14:textId="77777777" w:rsidR="006623C5" w:rsidRDefault="006623C5" w:rsidP="006623C5">
      <w:pPr>
        <w:pStyle w:val="FSCnMain"/>
        <w:ind w:hanging="566"/>
        <w:rPr>
          <w:b/>
          <w:i/>
        </w:rPr>
      </w:pPr>
      <w:r w:rsidRPr="001630A8">
        <w:rPr>
          <w:b/>
          <w:i/>
        </w:rPr>
        <w:t>property of food</w:t>
      </w:r>
      <w:r w:rsidRPr="001630A8">
        <w:t xml:space="preserve"> means a *component, ingredient, constituent or other feature of food.</w:t>
      </w:r>
    </w:p>
    <w:p w14:paraId="053C9E6A" w14:textId="77777777" w:rsidR="006623C5" w:rsidRDefault="006623C5" w:rsidP="006623C5">
      <w:pPr>
        <w:pStyle w:val="FSCnMain"/>
        <w:ind w:hanging="566"/>
        <w:rPr>
          <w:b/>
          <w:i/>
        </w:rPr>
      </w:pPr>
      <w:r w:rsidRPr="004A6F4B">
        <w:rPr>
          <w:b/>
          <w:i/>
        </w:rPr>
        <w:t xml:space="preserve">small package </w:t>
      </w:r>
      <w:r w:rsidRPr="004A6F4B">
        <w:t>means a package with a surface area of less than 100 cm2.</w:t>
      </w:r>
    </w:p>
    <w:p w14:paraId="019607CA" w14:textId="77777777" w:rsidR="006623C5" w:rsidRDefault="006623C5" w:rsidP="006623C5">
      <w:pPr>
        <w:pStyle w:val="FSCnMain"/>
        <w:ind w:hanging="566"/>
      </w:pPr>
      <w:r w:rsidRPr="00E62D32">
        <w:rPr>
          <w:b/>
          <w:i/>
        </w:rPr>
        <w:t>sugars</w:t>
      </w:r>
      <w:r>
        <w:t>:</w:t>
      </w:r>
    </w:p>
    <w:p w14:paraId="73B57FD9" w14:textId="77777777" w:rsidR="006623C5" w:rsidRDefault="006623C5" w:rsidP="006623C5">
      <w:pPr>
        <w:pStyle w:val="FSCnMain"/>
        <w:ind w:hanging="566"/>
      </w:pPr>
      <w:r>
        <w:t>(a) in Standard 1.2.7, Standard 1.2.8 and Schedule 4 (except where it appears with an asterisk as ‘sugars*’)—means monosaccharides and disaccharides; and</w:t>
      </w:r>
    </w:p>
    <w:p w14:paraId="14F69784" w14:textId="77777777" w:rsidR="006623C5" w:rsidRDefault="006623C5" w:rsidP="006623C5">
      <w:pPr>
        <w:pStyle w:val="FSCnMain"/>
        <w:ind w:hanging="566"/>
      </w:pPr>
      <w:r>
        <w:t>(b) otherwise—means any of the following products, derived from any source:</w:t>
      </w:r>
    </w:p>
    <w:p w14:paraId="531F6AF5" w14:textId="77777777" w:rsidR="006623C5" w:rsidRDefault="006623C5" w:rsidP="006623C5">
      <w:pPr>
        <w:pStyle w:val="FSCnMain"/>
        <w:ind w:left="2834" w:hanging="849"/>
      </w:pPr>
      <w:r>
        <w:t>(i) hexose monosaccharides and disaccharides, including dextrose, fructose, sucrose and lactose;</w:t>
      </w:r>
    </w:p>
    <w:p w14:paraId="77572832" w14:textId="77777777" w:rsidR="006623C5" w:rsidRDefault="006623C5" w:rsidP="006623C5">
      <w:pPr>
        <w:pStyle w:val="FSCnMain"/>
        <w:ind w:left="2834" w:hanging="849"/>
      </w:pPr>
      <w:r>
        <w:t>(ii) starch hydrolysate;</w:t>
      </w:r>
    </w:p>
    <w:p w14:paraId="65ADF548" w14:textId="77777777" w:rsidR="006623C5" w:rsidRDefault="006623C5" w:rsidP="006623C5">
      <w:pPr>
        <w:pStyle w:val="FSCnMain"/>
        <w:ind w:left="2834" w:hanging="849"/>
      </w:pPr>
      <w:r>
        <w:t>(iii) glucose syrups, maltodextrin and similar products;</w:t>
      </w:r>
    </w:p>
    <w:p w14:paraId="5DA7B361" w14:textId="77777777" w:rsidR="006623C5" w:rsidRDefault="006623C5" w:rsidP="006623C5">
      <w:pPr>
        <w:pStyle w:val="FSCnMain"/>
        <w:ind w:left="2834" w:hanging="849"/>
      </w:pPr>
      <w:r>
        <w:t>(iv) products derived at a sugar refinery, including brown sugar and molasses;</w:t>
      </w:r>
    </w:p>
    <w:p w14:paraId="0599837B" w14:textId="77777777" w:rsidR="006623C5" w:rsidRDefault="006623C5" w:rsidP="006623C5">
      <w:pPr>
        <w:pStyle w:val="FSCnMain"/>
        <w:ind w:left="2834" w:hanging="849"/>
      </w:pPr>
      <w:r>
        <w:t>(v) icing sugar;</w:t>
      </w:r>
    </w:p>
    <w:p w14:paraId="6D55C718" w14:textId="77777777" w:rsidR="006623C5" w:rsidRDefault="006623C5" w:rsidP="006623C5">
      <w:pPr>
        <w:pStyle w:val="FSCnMain"/>
        <w:ind w:left="2834" w:hanging="849"/>
      </w:pPr>
      <w:r>
        <w:t>(vi) invert sugar;</w:t>
      </w:r>
    </w:p>
    <w:p w14:paraId="0EC3D384" w14:textId="77777777" w:rsidR="006623C5" w:rsidRDefault="006623C5" w:rsidP="006623C5">
      <w:pPr>
        <w:pStyle w:val="FSCnMain"/>
        <w:ind w:left="2834" w:hanging="849"/>
      </w:pPr>
      <w:r>
        <w:t>(vii) fruit sugar syrup;</w:t>
      </w:r>
    </w:p>
    <w:p w14:paraId="099622BB" w14:textId="77777777" w:rsidR="006623C5" w:rsidRDefault="006623C5" w:rsidP="006623C5">
      <w:pPr>
        <w:pStyle w:val="FSCnMain"/>
        <w:ind w:hanging="566"/>
      </w:pPr>
      <w:r>
        <w:t>but does not include:</w:t>
      </w:r>
    </w:p>
    <w:p w14:paraId="5FBF271D" w14:textId="77777777" w:rsidR="006623C5" w:rsidRDefault="006623C5" w:rsidP="006623C5">
      <w:pPr>
        <w:pStyle w:val="FSCnMain"/>
        <w:ind w:hanging="283"/>
      </w:pPr>
      <w:r>
        <w:t>(i) malt or malt extracts; or</w:t>
      </w:r>
    </w:p>
    <w:p w14:paraId="434C72CE" w14:textId="77777777" w:rsidR="006623C5" w:rsidRDefault="006623C5" w:rsidP="006623C5">
      <w:pPr>
        <w:pStyle w:val="FSCnMain"/>
        <w:ind w:hanging="283"/>
      </w:pPr>
      <w:r>
        <w:t>(ii) sorbitol, mannitol, glycerol, xylitol, polydextrose, isomalt, maltitol, maltitol syrup, erythritol or lactitol.</w:t>
      </w:r>
    </w:p>
    <w:p w14:paraId="66DD188F" w14:textId="77777777" w:rsidR="006623C5" w:rsidRDefault="006623C5" w:rsidP="006623C5">
      <w:pPr>
        <w:pStyle w:val="FSCnPara"/>
      </w:pPr>
      <w:r>
        <w:tab/>
      </w:r>
      <w:r w:rsidRPr="00E1599B">
        <w:rPr>
          <w:b/>
          <w:i/>
        </w:rPr>
        <w:t>Note</w:t>
      </w:r>
      <w:r>
        <w:t xml:space="preserve"> Sugar is </w:t>
      </w:r>
      <w:r w:rsidRPr="00190B8B">
        <w:t>defined</w:t>
      </w:r>
      <w:r>
        <w:t xml:space="preserve"> differently—see section 1.1.2—3.</w:t>
      </w:r>
    </w:p>
    <w:p w14:paraId="4B0409FA" w14:textId="77777777" w:rsidR="006623C5" w:rsidRDefault="006623C5" w:rsidP="006623C5">
      <w:pPr>
        <w:pStyle w:val="FSCnMain"/>
        <w:ind w:hanging="566"/>
      </w:pPr>
      <w:r w:rsidRPr="00524A9E">
        <w:rPr>
          <w:b/>
          <w:i/>
        </w:rPr>
        <w:t>unit quantity</w:t>
      </w:r>
      <w:r>
        <w:t xml:space="preserve"> means:</w:t>
      </w:r>
    </w:p>
    <w:p w14:paraId="74FFA877" w14:textId="77777777" w:rsidR="006623C5" w:rsidRDefault="006623C5" w:rsidP="006623C5">
      <w:pPr>
        <w:pStyle w:val="FSCnMain"/>
        <w:ind w:hanging="566"/>
      </w:pPr>
      <w:r>
        <w:t>(a) for a food that is a solid or semi-solid food—100 grams; or</w:t>
      </w:r>
    </w:p>
    <w:p w14:paraId="0EEEC59C" w14:textId="77777777" w:rsidR="006623C5" w:rsidRDefault="006623C5" w:rsidP="006623C5">
      <w:pPr>
        <w:pStyle w:val="FSCnMain"/>
        <w:tabs>
          <w:tab w:val="clear" w:pos="1701"/>
          <w:tab w:val="left" w:pos="851"/>
        </w:tabs>
        <w:ind w:hanging="566"/>
      </w:pPr>
      <w:r>
        <w:t>(b) for a food that is a beverage or other liquid food—100 millilitres.</w:t>
      </w:r>
    </w:p>
    <w:p w14:paraId="791FA632" w14:textId="77777777" w:rsidR="006623C5" w:rsidRDefault="006623C5" w:rsidP="006623C5">
      <w:pPr>
        <w:pStyle w:val="FSCnMain"/>
        <w:tabs>
          <w:tab w:val="clear" w:pos="1701"/>
          <w:tab w:val="left" w:pos="851"/>
        </w:tabs>
        <w:rPr>
          <w:b/>
          <w:i/>
        </w:rPr>
      </w:pPr>
    </w:p>
    <w:p w14:paraId="4E37B2AA" w14:textId="77777777" w:rsidR="006623C5" w:rsidRPr="00D81385" w:rsidRDefault="006623C5" w:rsidP="006623C5">
      <w:pPr>
        <w:pStyle w:val="FSCnMain"/>
        <w:tabs>
          <w:tab w:val="clear" w:pos="1701"/>
          <w:tab w:val="left" w:pos="851"/>
        </w:tabs>
      </w:pPr>
      <w:r w:rsidRPr="00D81385">
        <w:rPr>
          <w:b/>
          <w:i/>
        </w:rPr>
        <w:t>Note</w:t>
      </w:r>
      <w:r>
        <w:rPr>
          <w:b/>
          <w:i/>
        </w:rPr>
        <w:t xml:space="preserve"> 2</w:t>
      </w:r>
      <w:r w:rsidRPr="00D81385">
        <w:tab/>
        <w:t>In this Code (see section 1.1.2—3):</w:t>
      </w:r>
    </w:p>
    <w:p w14:paraId="49CE102E" w14:textId="77777777" w:rsidR="006623C5" w:rsidRPr="00D81385" w:rsidRDefault="006623C5" w:rsidP="006623C5">
      <w:pPr>
        <w:pStyle w:val="FSCnMain"/>
      </w:pPr>
      <w:r w:rsidRPr="00D81385">
        <w:rPr>
          <w:b/>
          <w:i/>
        </w:rPr>
        <w:tab/>
        <w:t>brewed soft drink</w:t>
      </w:r>
      <w:r w:rsidRPr="00D81385">
        <w:t xml:space="preserve"> means a food that:</w:t>
      </w:r>
    </w:p>
    <w:p w14:paraId="014F882F" w14:textId="77777777" w:rsidR="006623C5" w:rsidRPr="00D81385" w:rsidRDefault="006623C5" w:rsidP="006623C5">
      <w:pPr>
        <w:pStyle w:val="FSCnMain"/>
      </w:pPr>
      <w:r w:rsidRPr="00D81385">
        <w:tab/>
        <w:t>(a)</w:t>
      </w:r>
      <w:r w:rsidRPr="00D81385">
        <w:tab/>
        <w:t>is the product prepared by a fermentation process from water with sugar and one or more of:</w:t>
      </w:r>
    </w:p>
    <w:p w14:paraId="632833E3" w14:textId="77777777" w:rsidR="006623C5" w:rsidRPr="00D81385" w:rsidRDefault="006623C5" w:rsidP="006623C5">
      <w:pPr>
        <w:pStyle w:val="FSCnMain"/>
        <w:tabs>
          <w:tab w:val="clear" w:pos="1701"/>
          <w:tab w:val="left" w:pos="2268"/>
        </w:tabs>
      </w:pPr>
      <w:r w:rsidRPr="00D81385">
        <w:lastRenderedPageBreak/>
        <w:tab/>
        <w:t>(i)</w:t>
      </w:r>
      <w:r w:rsidRPr="00D81385">
        <w:tab/>
        <w:t>fruit extractives or infusions; or</w:t>
      </w:r>
    </w:p>
    <w:p w14:paraId="185B69E1" w14:textId="77777777" w:rsidR="006623C5" w:rsidRPr="00D81385" w:rsidRDefault="006623C5" w:rsidP="006623C5">
      <w:pPr>
        <w:pStyle w:val="FSCnMain"/>
        <w:tabs>
          <w:tab w:val="clear" w:pos="1701"/>
          <w:tab w:val="left" w:pos="2268"/>
        </w:tabs>
      </w:pPr>
      <w:r w:rsidRPr="00D81385">
        <w:tab/>
        <w:t>(ii)</w:t>
      </w:r>
      <w:r w:rsidRPr="00D81385">
        <w:tab/>
        <w:t>vegetable extractives or infusions; and</w:t>
      </w:r>
    </w:p>
    <w:p w14:paraId="05F99696" w14:textId="77777777" w:rsidR="006623C5" w:rsidRPr="00D81385" w:rsidRDefault="006623C5" w:rsidP="006623C5">
      <w:pPr>
        <w:pStyle w:val="FSCnMain"/>
      </w:pPr>
      <w:r w:rsidRPr="00D81385">
        <w:tab/>
        <w:t>(b)</w:t>
      </w:r>
      <w:r w:rsidRPr="00D81385">
        <w:tab/>
        <w:t>contains no more than 1.15% alcohol by volume.</w:t>
      </w:r>
    </w:p>
    <w:p w14:paraId="5312B4A9" w14:textId="77777777" w:rsidR="006623C5" w:rsidRPr="00D81385" w:rsidRDefault="006623C5" w:rsidP="006623C5">
      <w:pPr>
        <w:pStyle w:val="FSCnMain"/>
        <w:ind w:left="1701" w:hanging="1701"/>
      </w:pPr>
      <w:r w:rsidRPr="00D81385">
        <w:rPr>
          <w:b/>
          <w:i/>
        </w:rPr>
        <w:tab/>
        <w:t xml:space="preserve">electrolyte drink </w:t>
      </w:r>
      <w:r w:rsidRPr="00D81385">
        <w:t>means a drink formulated for the rapid replacement of fluid and electrolytes during or after 60 minutes or more of strenuous physical activity.</w:t>
      </w:r>
    </w:p>
    <w:p w14:paraId="0FA98BC4" w14:textId="77777777" w:rsidR="006623C5" w:rsidRPr="00D81385" w:rsidRDefault="006623C5" w:rsidP="006623C5">
      <w:pPr>
        <w:pStyle w:val="FSCnMain"/>
      </w:pPr>
      <w:r w:rsidRPr="00D81385">
        <w:rPr>
          <w:b/>
          <w:i/>
        </w:rPr>
        <w:tab/>
        <w:t>electrolyte drink base</w:t>
      </w:r>
      <w:r w:rsidRPr="00D81385">
        <w:t xml:space="preserve"> means a solid or liquid which, when made up, makes an electrolyte drink.</w:t>
      </w:r>
    </w:p>
    <w:p w14:paraId="7663A5E8" w14:textId="77777777" w:rsidR="006623C5" w:rsidRPr="00D81385" w:rsidRDefault="006623C5" w:rsidP="006623C5">
      <w:pPr>
        <w:pStyle w:val="FSCnMain"/>
      </w:pPr>
      <w:r w:rsidRPr="00D81385">
        <w:tab/>
      </w:r>
      <w:r w:rsidRPr="00D81385">
        <w:rPr>
          <w:b/>
          <w:i/>
        </w:rPr>
        <w:t>formulated beverage</w:t>
      </w:r>
      <w:r w:rsidRPr="00D81385">
        <w:t xml:space="preserve"> means a non-carbonated, ready-to-drink, flavoured beverage that:</w:t>
      </w:r>
    </w:p>
    <w:p w14:paraId="67E0AEF6" w14:textId="77777777" w:rsidR="006623C5" w:rsidRPr="00D81385" w:rsidRDefault="006623C5" w:rsidP="006623C5">
      <w:pPr>
        <w:pStyle w:val="FSCnMain"/>
      </w:pPr>
      <w:r w:rsidRPr="00D81385">
        <w:tab/>
        <w:t>(a)</w:t>
      </w:r>
      <w:r w:rsidRPr="00D81385">
        <w:tab/>
        <w:t>is water-based; and</w:t>
      </w:r>
    </w:p>
    <w:p w14:paraId="31A512F9" w14:textId="77777777" w:rsidR="006623C5" w:rsidRPr="00D81385" w:rsidRDefault="006623C5" w:rsidP="006623C5">
      <w:pPr>
        <w:pStyle w:val="FSCnMain"/>
      </w:pPr>
      <w:r w:rsidRPr="00D81385">
        <w:tab/>
        <w:t>(b)</w:t>
      </w:r>
      <w:r w:rsidRPr="00D81385">
        <w:tab/>
        <w:t>contains added vitamins or minerals or both vitamins and minerals; and</w:t>
      </w:r>
    </w:p>
    <w:p w14:paraId="24D59ABF" w14:textId="77777777" w:rsidR="006623C5" w:rsidRPr="00D81385" w:rsidRDefault="006623C5" w:rsidP="006623C5">
      <w:pPr>
        <w:pStyle w:val="FSCnMain"/>
      </w:pPr>
      <w:r w:rsidRPr="00D81385">
        <w:tab/>
        <w:t>(c)</w:t>
      </w:r>
      <w:r w:rsidRPr="00D81385">
        <w:tab/>
        <w:t>contains no more than 240 mL/L of fruit from one or more of the following sources:</w:t>
      </w:r>
    </w:p>
    <w:p w14:paraId="319E6562" w14:textId="77777777" w:rsidR="006623C5" w:rsidRPr="00D81385" w:rsidRDefault="006623C5" w:rsidP="006623C5">
      <w:pPr>
        <w:pStyle w:val="FSCnMain"/>
      </w:pPr>
      <w:r w:rsidRPr="00D81385">
        <w:tab/>
        <w:t>(i)</w:t>
      </w:r>
      <w:r w:rsidRPr="00D81385">
        <w:tab/>
        <w:t>fruit juice;</w:t>
      </w:r>
    </w:p>
    <w:p w14:paraId="24A42BD5" w14:textId="77777777" w:rsidR="006623C5" w:rsidRPr="00D81385" w:rsidRDefault="006623C5" w:rsidP="006623C5">
      <w:pPr>
        <w:pStyle w:val="FSCnMain"/>
      </w:pPr>
      <w:r w:rsidRPr="00D81385">
        <w:tab/>
        <w:t>(ii)</w:t>
      </w:r>
      <w:r w:rsidRPr="00D81385">
        <w:tab/>
        <w:t>fruit purée;</w:t>
      </w:r>
    </w:p>
    <w:p w14:paraId="49324BF1" w14:textId="77777777" w:rsidR="006623C5" w:rsidRPr="00D81385" w:rsidRDefault="006623C5" w:rsidP="006623C5">
      <w:pPr>
        <w:pStyle w:val="FSCnMain"/>
      </w:pPr>
      <w:r w:rsidRPr="00D81385">
        <w:tab/>
        <w:t>(iii)</w:t>
      </w:r>
      <w:r w:rsidRPr="00D81385">
        <w:tab/>
        <w:t>concentrated fruit juice;</w:t>
      </w:r>
    </w:p>
    <w:p w14:paraId="299833EB" w14:textId="77777777" w:rsidR="006623C5" w:rsidRPr="00D81385" w:rsidRDefault="006623C5" w:rsidP="006623C5">
      <w:pPr>
        <w:pStyle w:val="FSCnMain"/>
      </w:pPr>
      <w:r w:rsidRPr="00D81385">
        <w:tab/>
        <w:t>(iv)</w:t>
      </w:r>
      <w:r w:rsidRPr="00D81385">
        <w:tab/>
        <w:t>concentrated fruit purée;</w:t>
      </w:r>
    </w:p>
    <w:p w14:paraId="4F0C9044" w14:textId="77777777" w:rsidR="006623C5" w:rsidRPr="00D81385" w:rsidRDefault="006623C5" w:rsidP="006623C5">
      <w:pPr>
        <w:pStyle w:val="FSCnMain"/>
      </w:pPr>
      <w:r w:rsidRPr="00D81385">
        <w:tab/>
        <w:t>(v)</w:t>
      </w:r>
      <w:r w:rsidRPr="00D81385">
        <w:tab/>
        <w:t>comminuted fruit;</w:t>
      </w:r>
    </w:p>
    <w:p w14:paraId="30076F00" w14:textId="77777777" w:rsidR="006623C5" w:rsidRPr="00D81385" w:rsidRDefault="006623C5" w:rsidP="006623C5">
      <w:pPr>
        <w:pStyle w:val="FSCnMain"/>
      </w:pPr>
      <w:r w:rsidRPr="00D81385">
        <w:tab/>
        <w:t>(vi)</w:t>
      </w:r>
      <w:r w:rsidRPr="00D81385">
        <w:tab/>
        <w:t>orange peel extract; and</w:t>
      </w:r>
    </w:p>
    <w:p w14:paraId="283A14DD" w14:textId="77777777" w:rsidR="006623C5" w:rsidRPr="00D81385" w:rsidRDefault="006623C5" w:rsidP="006623C5">
      <w:pPr>
        <w:pStyle w:val="FSCnMain"/>
      </w:pPr>
      <w:r w:rsidRPr="00D81385">
        <w:tab/>
        <w:t>(d)</w:t>
      </w:r>
      <w:r w:rsidRPr="00D81385">
        <w:tab/>
        <w:t>contains no more than 75 g/L of sugars; and</w:t>
      </w:r>
    </w:p>
    <w:p w14:paraId="573F2F29" w14:textId="77777777" w:rsidR="006623C5" w:rsidRPr="00D81385" w:rsidRDefault="006623C5" w:rsidP="006623C5">
      <w:pPr>
        <w:pStyle w:val="FSCnMain"/>
      </w:pPr>
      <w:r w:rsidRPr="00D81385">
        <w:tab/>
        <w:t>(e)</w:t>
      </w:r>
      <w:r w:rsidRPr="00D81385">
        <w:tab/>
        <w:t>does not contain:</w:t>
      </w:r>
    </w:p>
    <w:p w14:paraId="2E011FAC" w14:textId="77777777" w:rsidR="006623C5" w:rsidRPr="00D81385" w:rsidRDefault="006623C5" w:rsidP="006623C5">
      <w:pPr>
        <w:pStyle w:val="FSCnMain"/>
      </w:pPr>
      <w:r w:rsidRPr="00D81385">
        <w:tab/>
        <w:t>(i)</w:t>
      </w:r>
      <w:r w:rsidRPr="00D81385">
        <w:tab/>
        <w:t>carbon dioxide; or</w:t>
      </w:r>
    </w:p>
    <w:p w14:paraId="7C28D2E9" w14:textId="77777777" w:rsidR="006623C5" w:rsidRPr="00D81385" w:rsidRDefault="006623C5" w:rsidP="006623C5">
      <w:pPr>
        <w:pStyle w:val="FSCnMain"/>
      </w:pPr>
      <w:r w:rsidRPr="00D81385">
        <w:tab/>
        <w:t>(ii)</w:t>
      </w:r>
      <w:r w:rsidRPr="00D81385">
        <w:tab/>
        <w:t>caffeine; and</w:t>
      </w:r>
    </w:p>
    <w:p w14:paraId="45303526" w14:textId="77777777" w:rsidR="006623C5" w:rsidRPr="00D81385" w:rsidRDefault="006623C5" w:rsidP="006623C5">
      <w:pPr>
        <w:pStyle w:val="FSCnMain"/>
      </w:pPr>
      <w:r w:rsidRPr="00D81385">
        <w:tab/>
        <w:t>(f)</w:t>
      </w:r>
      <w:r w:rsidRPr="00D81385">
        <w:tab/>
        <w:t>is not mixed with any other beverage.</w:t>
      </w:r>
    </w:p>
    <w:p w14:paraId="6573BA0F" w14:textId="77777777" w:rsidR="006623C5" w:rsidRPr="00D81385" w:rsidRDefault="006623C5" w:rsidP="006623C5">
      <w:pPr>
        <w:pStyle w:val="FSCnMain"/>
      </w:pPr>
      <w:r w:rsidRPr="00D81385">
        <w:rPr>
          <w:b/>
          <w:i/>
        </w:rPr>
        <w:tab/>
        <w:t>fruit drink</w:t>
      </w:r>
      <w:r w:rsidRPr="00D81385">
        <w:t xml:space="preserve"> means a product that is prepared from:</w:t>
      </w:r>
    </w:p>
    <w:p w14:paraId="23B5C7B0" w14:textId="77777777" w:rsidR="006623C5" w:rsidRPr="00D81385" w:rsidRDefault="006623C5" w:rsidP="006623C5">
      <w:pPr>
        <w:pStyle w:val="FSCnMain"/>
      </w:pPr>
      <w:r w:rsidRPr="00D81385">
        <w:tab/>
        <w:t>(a)</w:t>
      </w:r>
      <w:r w:rsidRPr="00D81385">
        <w:tab/>
        <w:t>one or more of the following:</w:t>
      </w:r>
    </w:p>
    <w:p w14:paraId="0FBA768B" w14:textId="77777777" w:rsidR="006623C5" w:rsidRPr="00D81385" w:rsidRDefault="006623C5" w:rsidP="006623C5">
      <w:pPr>
        <w:pStyle w:val="FSCnMain"/>
      </w:pPr>
      <w:r w:rsidRPr="00D81385">
        <w:tab/>
        <w:t>(i)</w:t>
      </w:r>
      <w:r w:rsidRPr="00D81385">
        <w:tab/>
        <w:t>fruit juice;</w:t>
      </w:r>
    </w:p>
    <w:p w14:paraId="7F627088" w14:textId="77777777" w:rsidR="006623C5" w:rsidRPr="00D81385" w:rsidRDefault="006623C5" w:rsidP="006623C5">
      <w:pPr>
        <w:pStyle w:val="FSCnMain"/>
      </w:pPr>
      <w:r w:rsidRPr="00D81385">
        <w:tab/>
        <w:t>(ii)</w:t>
      </w:r>
      <w:r w:rsidRPr="00D81385">
        <w:tab/>
        <w:t>fruit purée;</w:t>
      </w:r>
    </w:p>
    <w:p w14:paraId="7E8420E4" w14:textId="77777777" w:rsidR="006623C5" w:rsidRPr="00D81385" w:rsidRDefault="006623C5" w:rsidP="006623C5">
      <w:pPr>
        <w:pStyle w:val="FSCnMain"/>
      </w:pPr>
      <w:r w:rsidRPr="00D81385">
        <w:tab/>
        <w:t>(iii)</w:t>
      </w:r>
      <w:r w:rsidRPr="00D81385">
        <w:tab/>
        <w:t>concentrated fruit juice;</w:t>
      </w:r>
    </w:p>
    <w:p w14:paraId="2DEEC50A" w14:textId="77777777" w:rsidR="006623C5" w:rsidRPr="00D81385" w:rsidRDefault="006623C5" w:rsidP="006623C5">
      <w:pPr>
        <w:pStyle w:val="FSCnMain"/>
      </w:pPr>
      <w:r w:rsidRPr="00D81385">
        <w:tab/>
        <w:t>(iv)</w:t>
      </w:r>
      <w:r w:rsidRPr="00D81385">
        <w:tab/>
        <w:t>concentrated fruit purée;</w:t>
      </w:r>
    </w:p>
    <w:p w14:paraId="3C09CE00" w14:textId="77777777" w:rsidR="006623C5" w:rsidRPr="00D81385" w:rsidRDefault="006623C5" w:rsidP="006623C5">
      <w:pPr>
        <w:pStyle w:val="FSCnMain"/>
      </w:pPr>
      <w:r w:rsidRPr="00D81385">
        <w:tab/>
        <w:t>(v)</w:t>
      </w:r>
      <w:r w:rsidRPr="00D81385">
        <w:tab/>
        <w:t>comminuted fruit;</w:t>
      </w:r>
    </w:p>
    <w:p w14:paraId="5F30A6C5" w14:textId="77777777" w:rsidR="006623C5" w:rsidRPr="00D81385" w:rsidRDefault="006623C5" w:rsidP="006623C5">
      <w:pPr>
        <w:pStyle w:val="FSCnMain"/>
      </w:pPr>
      <w:r w:rsidRPr="00D81385">
        <w:tab/>
        <w:t>(vi)</w:t>
      </w:r>
      <w:r w:rsidRPr="00D81385">
        <w:tab/>
        <w:t>orange peel extract; and</w:t>
      </w:r>
    </w:p>
    <w:p w14:paraId="687ACC6C" w14:textId="77777777" w:rsidR="006623C5" w:rsidRPr="00D81385" w:rsidRDefault="006623C5" w:rsidP="006623C5">
      <w:pPr>
        <w:pStyle w:val="FSCnMain"/>
      </w:pPr>
      <w:r w:rsidRPr="00D81385">
        <w:tab/>
        <w:t>(b)</w:t>
      </w:r>
      <w:r w:rsidRPr="00D81385">
        <w:tab/>
        <w:t>one or more of the following:</w:t>
      </w:r>
    </w:p>
    <w:p w14:paraId="4A014AE9" w14:textId="77777777" w:rsidR="006623C5" w:rsidRPr="00D81385" w:rsidRDefault="006623C5" w:rsidP="006623C5">
      <w:pPr>
        <w:pStyle w:val="FSCnMain"/>
      </w:pPr>
      <w:r w:rsidRPr="00D81385">
        <w:tab/>
        <w:t>(i)</w:t>
      </w:r>
      <w:r w:rsidRPr="00D81385">
        <w:tab/>
        <w:t>water;</w:t>
      </w:r>
    </w:p>
    <w:p w14:paraId="2EA3BA44" w14:textId="77777777" w:rsidR="006623C5" w:rsidRPr="00D81385" w:rsidRDefault="006623C5" w:rsidP="006623C5">
      <w:pPr>
        <w:pStyle w:val="FSCnMain"/>
      </w:pPr>
      <w:r w:rsidRPr="00D81385">
        <w:tab/>
        <w:t>(ii)</w:t>
      </w:r>
      <w:r w:rsidRPr="00D81385">
        <w:tab/>
        <w:t>mineralised water; and</w:t>
      </w:r>
    </w:p>
    <w:p w14:paraId="5A2D9293" w14:textId="77777777" w:rsidR="006623C5" w:rsidRPr="00D81385" w:rsidRDefault="006623C5" w:rsidP="006623C5">
      <w:pPr>
        <w:pStyle w:val="FSCnMain"/>
      </w:pPr>
      <w:r w:rsidRPr="00D81385">
        <w:tab/>
        <w:t>(iii)</w:t>
      </w:r>
      <w:r w:rsidRPr="00D81385">
        <w:tab/>
        <w:t>sugars.</w:t>
      </w:r>
    </w:p>
    <w:p w14:paraId="215D035F" w14:textId="77777777" w:rsidR="006623C5" w:rsidRDefault="006623C5" w:rsidP="006623C5">
      <w:pPr>
        <w:pStyle w:val="FSCnMain"/>
        <w:ind w:left="1701"/>
      </w:pPr>
      <w:r w:rsidRPr="00D81385">
        <w:rPr>
          <w:b/>
          <w:i/>
        </w:rPr>
        <w:tab/>
        <w:t xml:space="preserve">mineral water </w:t>
      </w:r>
      <w:r w:rsidRPr="00D81385">
        <w:t>or</w:t>
      </w:r>
      <w:r w:rsidRPr="00D81385">
        <w:rPr>
          <w:b/>
          <w:i/>
        </w:rPr>
        <w:t xml:space="preserve"> spring water</w:t>
      </w:r>
      <w:r w:rsidRPr="00D81385">
        <w:t xml:space="preserve"> means ground water obtained from subterranean water-bearing strata that, in its natural state, contains soluble matter.</w:t>
      </w:r>
    </w:p>
    <w:p w14:paraId="0857118E" w14:textId="77777777" w:rsidR="006623C5" w:rsidRPr="00D81385" w:rsidRDefault="006623C5" w:rsidP="006623C5">
      <w:pPr>
        <w:pStyle w:val="FSCnMain"/>
      </w:pPr>
      <w:r w:rsidRPr="00D81385">
        <w:rPr>
          <w:b/>
          <w:i/>
        </w:rPr>
        <w:tab/>
        <w:t>non-alcoholic beverage</w:t>
      </w:r>
      <w:r w:rsidRPr="00D81385">
        <w:t>:</w:t>
      </w:r>
    </w:p>
    <w:p w14:paraId="0F49375A" w14:textId="77777777" w:rsidR="006623C5" w:rsidRPr="00D81385" w:rsidRDefault="006623C5" w:rsidP="006623C5">
      <w:pPr>
        <w:pStyle w:val="FSCnMain"/>
        <w:ind w:hanging="567"/>
      </w:pPr>
      <w:r w:rsidRPr="00D81385">
        <w:t>(a)</w:t>
      </w:r>
      <w:r w:rsidRPr="00D81385">
        <w:tab/>
        <w:t>means:</w:t>
      </w:r>
    </w:p>
    <w:p w14:paraId="06DD251B" w14:textId="77777777" w:rsidR="006623C5" w:rsidRPr="00D81385" w:rsidRDefault="006623C5" w:rsidP="006623C5">
      <w:pPr>
        <w:pStyle w:val="FSCnMain"/>
        <w:tabs>
          <w:tab w:val="clear" w:pos="1701"/>
          <w:tab w:val="left" w:pos="2268"/>
        </w:tabs>
      </w:pPr>
      <w:r w:rsidRPr="00D81385">
        <w:tab/>
        <w:t>(i)</w:t>
      </w:r>
      <w:r w:rsidRPr="00D81385">
        <w:tab/>
        <w:t>packaged water; or</w:t>
      </w:r>
    </w:p>
    <w:p w14:paraId="6CE53321" w14:textId="77777777" w:rsidR="006623C5" w:rsidRPr="00D81385" w:rsidRDefault="006623C5" w:rsidP="006623C5">
      <w:pPr>
        <w:pStyle w:val="FSCnMain"/>
        <w:tabs>
          <w:tab w:val="clear" w:pos="1701"/>
        </w:tabs>
        <w:ind w:left="2550" w:hanging="282"/>
      </w:pPr>
      <w:r w:rsidRPr="00D81385">
        <w:t>(ii)</w:t>
      </w:r>
      <w:r w:rsidRPr="00D81385">
        <w:tab/>
        <w:t>a water-based beverage, or a water-based beverage that contains other foods (other than alcoholic beverages); or</w:t>
      </w:r>
    </w:p>
    <w:p w14:paraId="2FE76D47" w14:textId="77777777" w:rsidR="006623C5" w:rsidRPr="00D81385" w:rsidRDefault="006623C5" w:rsidP="006623C5">
      <w:pPr>
        <w:pStyle w:val="FSCnMain"/>
        <w:tabs>
          <w:tab w:val="clear" w:pos="1701"/>
          <w:tab w:val="left" w:pos="2268"/>
        </w:tabs>
      </w:pPr>
      <w:r w:rsidRPr="00D81385">
        <w:tab/>
        <w:t>(iii)</w:t>
      </w:r>
      <w:r w:rsidRPr="00D81385">
        <w:tab/>
        <w:t>an electrolyte drink; and</w:t>
      </w:r>
    </w:p>
    <w:p w14:paraId="5C581309" w14:textId="77777777" w:rsidR="006623C5" w:rsidRDefault="006623C5" w:rsidP="006623C5">
      <w:pPr>
        <w:pStyle w:val="FSCnMain"/>
      </w:pPr>
      <w:r w:rsidRPr="00D81385">
        <w:rPr>
          <w:rFonts w:ascii="Times New Roman" w:hAnsi="Times New Roman"/>
          <w:sz w:val="24"/>
          <w:szCs w:val="24"/>
        </w:rPr>
        <w:tab/>
      </w:r>
      <w:r w:rsidRPr="00FB5FC8">
        <w:t>(b)</w:t>
      </w:r>
      <w:r w:rsidRPr="00FB5FC8">
        <w:tab/>
        <w:t>does not include a brewed soft drink.</w:t>
      </w:r>
    </w:p>
    <w:p w14:paraId="39DF1CBB" w14:textId="77777777" w:rsidR="006623C5" w:rsidRPr="00305C92" w:rsidRDefault="006623C5" w:rsidP="006623C5">
      <w:pPr>
        <w:pStyle w:val="FSCnMain"/>
        <w:ind w:left="3969"/>
        <w:rPr>
          <w:rFonts w:cs="Times New Roman"/>
          <w:sz w:val="20"/>
          <w:szCs w:val="20"/>
          <w:lang w:eastAsia="en-US"/>
        </w:rPr>
      </w:pPr>
      <w:r w:rsidRPr="00305C92">
        <w:rPr>
          <w:b/>
          <w:i/>
        </w:rPr>
        <w:t>sugar</w:t>
      </w:r>
      <w:r w:rsidRPr="00305C92">
        <w:rPr>
          <w:rFonts w:cs="Times New Roman"/>
          <w:sz w:val="20"/>
          <w:szCs w:val="20"/>
          <w:lang w:eastAsia="en-US"/>
        </w:rPr>
        <w:t xml:space="preserve"> </w:t>
      </w:r>
      <w:r w:rsidRPr="00305C92">
        <w:t>means, unless otherwise expressly stated, any of the following:</w:t>
      </w:r>
    </w:p>
    <w:p w14:paraId="3F5E1151" w14:textId="77777777" w:rsidR="006623C5" w:rsidRPr="00305C92" w:rsidRDefault="006623C5" w:rsidP="006623C5">
      <w:pPr>
        <w:pStyle w:val="FSCnMain"/>
        <w:ind w:left="3969"/>
      </w:pPr>
      <w:r w:rsidRPr="00305C92">
        <w:t>(a) white sugar;</w:t>
      </w:r>
    </w:p>
    <w:p w14:paraId="16CB3309" w14:textId="77777777" w:rsidR="006623C5" w:rsidRPr="00305C92" w:rsidRDefault="006623C5" w:rsidP="006623C5">
      <w:pPr>
        <w:pStyle w:val="FSCnMain"/>
        <w:ind w:left="3969"/>
      </w:pPr>
      <w:r w:rsidRPr="00305C92">
        <w:t>(b) caster sugar;</w:t>
      </w:r>
    </w:p>
    <w:p w14:paraId="0C71953F" w14:textId="77777777" w:rsidR="006623C5" w:rsidRPr="00305C92" w:rsidRDefault="006623C5" w:rsidP="006623C5">
      <w:pPr>
        <w:pStyle w:val="FSCnMain"/>
        <w:ind w:left="3969"/>
      </w:pPr>
      <w:r w:rsidRPr="00305C92">
        <w:t>(c) icing sugar;</w:t>
      </w:r>
    </w:p>
    <w:p w14:paraId="7C775578" w14:textId="77777777" w:rsidR="006623C5" w:rsidRPr="00305C92" w:rsidRDefault="006623C5" w:rsidP="006623C5">
      <w:pPr>
        <w:pStyle w:val="FSCnMain"/>
        <w:ind w:left="3969"/>
      </w:pPr>
      <w:r w:rsidRPr="00305C92">
        <w:t>(d) loaf sugar;</w:t>
      </w:r>
    </w:p>
    <w:p w14:paraId="0916D6A8" w14:textId="77777777" w:rsidR="006623C5" w:rsidRPr="00305C92" w:rsidRDefault="006623C5" w:rsidP="006623C5">
      <w:pPr>
        <w:pStyle w:val="FSCnMain"/>
        <w:ind w:left="3969"/>
      </w:pPr>
      <w:r w:rsidRPr="00305C92">
        <w:t>(e) coffee sugar;</w:t>
      </w:r>
    </w:p>
    <w:p w14:paraId="4C359A76" w14:textId="77777777" w:rsidR="006623C5" w:rsidRPr="00305C92" w:rsidRDefault="006623C5" w:rsidP="006623C5">
      <w:pPr>
        <w:pStyle w:val="FSCnMain"/>
      </w:pPr>
      <w:r>
        <w:tab/>
      </w:r>
      <w:r w:rsidRPr="00305C92">
        <w:t>(f) raw sugar.</w:t>
      </w:r>
    </w:p>
    <w:p w14:paraId="3F7379E2" w14:textId="77777777" w:rsidR="006623C5" w:rsidRDefault="006623C5" w:rsidP="006623C5">
      <w:pPr>
        <w:pStyle w:val="FSCnMain"/>
        <w:tabs>
          <w:tab w:val="clear" w:pos="1701"/>
          <w:tab w:val="left" w:pos="851"/>
        </w:tabs>
        <w:rPr>
          <w:b/>
          <w:i/>
        </w:rPr>
      </w:pPr>
    </w:p>
    <w:p w14:paraId="4C17A4D9" w14:textId="77777777" w:rsidR="006623C5" w:rsidRDefault="006623C5" w:rsidP="006623C5">
      <w:pPr>
        <w:pStyle w:val="FSCnMain"/>
        <w:tabs>
          <w:tab w:val="clear" w:pos="1701"/>
          <w:tab w:val="left" w:pos="851"/>
        </w:tabs>
      </w:pPr>
      <w:r>
        <w:rPr>
          <w:b/>
          <w:i/>
        </w:rPr>
        <w:t>Note 3</w:t>
      </w:r>
      <w:r>
        <w:rPr>
          <w:i/>
        </w:rPr>
        <w:tab/>
      </w:r>
      <w:r>
        <w:t>In this Code (see subsection 1.1.2—9(1))</w:t>
      </w:r>
    </w:p>
    <w:p w14:paraId="421BF931" w14:textId="77777777" w:rsidR="006623C5" w:rsidRDefault="006623C5" w:rsidP="006623C5">
      <w:pPr>
        <w:pStyle w:val="FSCnMain"/>
        <w:ind w:left="1701" w:hanging="1701"/>
      </w:pPr>
      <w:r>
        <w:rPr>
          <w:b/>
          <w:i/>
        </w:rPr>
        <w:tab/>
      </w:r>
      <w:r>
        <w:rPr>
          <w:b/>
          <w:i/>
        </w:rPr>
        <w:tab/>
        <w:t xml:space="preserve">nutrition content claim </w:t>
      </w:r>
      <w:r>
        <w:t>means a claim that:</w:t>
      </w:r>
    </w:p>
    <w:p w14:paraId="463396E8" w14:textId="77777777" w:rsidR="006623C5" w:rsidRDefault="006623C5" w:rsidP="006623C5">
      <w:pPr>
        <w:pStyle w:val="FSCnMain"/>
        <w:tabs>
          <w:tab w:val="clear" w:pos="1701"/>
          <w:tab w:val="left" w:pos="2127"/>
        </w:tabs>
      </w:pPr>
      <w:r>
        <w:tab/>
        <w:t>(a) is about:</w:t>
      </w:r>
    </w:p>
    <w:p w14:paraId="44310E69" w14:textId="77777777" w:rsidR="006623C5" w:rsidRDefault="006623C5" w:rsidP="006623C5">
      <w:pPr>
        <w:pStyle w:val="FSCnMain"/>
        <w:tabs>
          <w:tab w:val="clear" w:pos="1701"/>
          <w:tab w:val="left" w:pos="1985"/>
        </w:tabs>
        <w:ind w:left="3402" w:hanging="992"/>
      </w:pPr>
      <w:r>
        <w:t>(i) the presence or absence of any of the following:</w:t>
      </w:r>
    </w:p>
    <w:p w14:paraId="29029A9A" w14:textId="77777777" w:rsidR="006623C5" w:rsidRDefault="006623C5" w:rsidP="006623C5">
      <w:pPr>
        <w:pStyle w:val="FSCnMain"/>
        <w:tabs>
          <w:tab w:val="clear" w:pos="1701"/>
          <w:tab w:val="left" w:pos="2268"/>
        </w:tabs>
        <w:ind w:left="3402" w:hanging="708"/>
      </w:pPr>
      <w:r>
        <w:t>(A) *biologically active substance;</w:t>
      </w:r>
    </w:p>
    <w:p w14:paraId="63F1D238" w14:textId="77777777" w:rsidR="006623C5" w:rsidRDefault="006623C5" w:rsidP="006623C5">
      <w:pPr>
        <w:pStyle w:val="FSCnMain"/>
        <w:tabs>
          <w:tab w:val="clear" w:pos="1701"/>
          <w:tab w:val="left" w:pos="2268"/>
        </w:tabs>
        <w:ind w:left="3402" w:hanging="708"/>
      </w:pPr>
      <w:r>
        <w:lastRenderedPageBreak/>
        <w:t>(B) *dietary fibre;</w:t>
      </w:r>
    </w:p>
    <w:p w14:paraId="4F1AAB19" w14:textId="77777777" w:rsidR="006623C5" w:rsidRDefault="006623C5" w:rsidP="006623C5">
      <w:pPr>
        <w:pStyle w:val="FSCnMain"/>
        <w:tabs>
          <w:tab w:val="clear" w:pos="1701"/>
          <w:tab w:val="left" w:pos="2268"/>
        </w:tabs>
        <w:ind w:left="3402" w:hanging="708"/>
      </w:pPr>
      <w:r>
        <w:t>(C) energy;</w:t>
      </w:r>
    </w:p>
    <w:p w14:paraId="4D22C87B" w14:textId="77777777" w:rsidR="006623C5" w:rsidRDefault="006623C5" w:rsidP="006623C5">
      <w:pPr>
        <w:pStyle w:val="FSCnMain"/>
        <w:tabs>
          <w:tab w:val="clear" w:pos="1701"/>
          <w:tab w:val="left" w:pos="2268"/>
        </w:tabs>
        <w:ind w:left="3402" w:hanging="708"/>
      </w:pPr>
      <w:r>
        <w:t>(D) minerals;</w:t>
      </w:r>
    </w:p>
    <w:p w14:paraId="4A71EDD3" w14:textId="77777777" w:rsidR="006623C5" w:rsidRDefault="006623C5" w:rsidP="006623C5">
      <w:pPr>
        <w:pStyle w:val="FSCnMain"/>
        <w:tabs>
          <w:tab w:val="clear" w:pos="1701"/>
          <w:tab w:val="left" w:pos="2268"/>
        </w:tabs>
        <w:ind w:left="3402" w:hanging="708"/>
      </w:pPr>
      <w:r>
        <w:t>(E) potassium;</w:t>
      </w:r>
    </w:p>
    <w:p w14:paraId="0FBD9B03" w14:textId="77777777" w:rsidR="006623C5" w:rsidRDefault="006623C5" w:rsidP="006623C5">
      <w:pPr>
        <w:pStyle w:val="FSCnMain"/>
        <w:tabs>
          <w:tab w:val="clear" w:pos="1701"/>
          <w:tab w:val="left" w:pos="2268"/>
        </w:tabs>
        <w:ind w:left="3402" w:hanging="708"/>
      </w:pPr>
      <w:r>
        <w:t>(F) protein;</w:t>
      </w:r>
    </w:p>
    <w:p w14:paraId="77F07005" w14:textId="77777777" w:rsidR="006623C5" w:rsidRDefault="006623C5" w:rsidP="006623C5">
      <w:pPr>
        <w:pStyle w:val="FSCnMain"/>
        <w:tabs>
          <w:tab w:val="clear" w:pos="1701"/>
          <w:tab w:val="left" w:pos="2268"/>
        </w:tabs>
        <w:ind w:left="3402" w:hanging="708"/>
      </w:pPr>
      <w:r>
        <w:t>(G) *carbohydrate;</w:t>
      </w:r>
    </w:p>
    <w:p w14:paraId="5E0656EB" w14:textId="77777777" w:rsidR="006623C5" w:rsidRDefault="006623C5" w:rsidP="006623C5">
      <w:pPr>
        <w:pStyle w:val="FSCnMain"/>
        <w:tabs>
          <w:tab w:val="clear" w:pos="1701"/>
          <w:tab w:val="left" w:pos="2268"/>
        </w:tabs>
        <w:ind w:left="3402" w:hanging="708"/>
      </w:pPr>
      <w:r>
        <w:t>(H) ‘fat’,</w:t>
      </w:r>
    </w:p>
    <w:p w14:paraId="34414CD0" w14:textId="77777777" w:rsidR="006623C5" w:rsidRDefault="006623C5" w:rsidP="006623C5">
      <w:pPr>
        <w:pStyle w:val="FSCnMain"/>
        <w:tabs>
          <w:tab w:val="clear" w:pos="1701"/>
          <w:tab w:val="left" w:pos="2268"/>
        </w:tabs>
        <w:ind w:left="3402" w:hanging="708"/>
      </w:pPr>
      <w:r>
        <w:t>(I) the components of any one of protein, carbohydrate or’fat’,</w:t>
      </w:r>
    </w:p>
    <w:p w14:paraId="482CA06D" w14:textId="77777777" w:rsidR="006623C5" w:rsidRDefault="006623C5" w:rsidP="006623C5">
      <w:pPr>
        <w:pStyle w:val="FSCnMain"/>
        <w:tabs>
          <w:tab w:val="clear" w:pos="1701"/>
          <w:tab w:val="left" w:pos="2268"/>
        </w:tabs>
        <w:ind w:left="3402" w:hanging="708"/>
      </w:pPr>
      <w:r>
        <w:t>(J) *salt;</w:t>
      </w:r>
    </w:p>
    <w:p w14:paraId="73135FC5" w14:textId="77777777" w:rsidR="006623C5" w:rsidRDefault="006623C5" w:rsidP="006623C5">
      <w:pPr>
        <w:pStyle w:val="FSCnMain"/>
        <w:tabs>
          <w:tab w:val="clear" w:pos="1701"/>
          <w:tab w:val="left" w:pos="2268"/>
        </w:tabs>
        <w:ind w:left="3402" w:hanging="708"/>
      </w:pPr>
      <w:r>
        <w:t>(K) sodium;</w:t>
      </w:r>
    </w:p>
    <w:p w14:paraId="494DF12B" w14:textId="77777777" w:rsidR="006623C5" w:rsidRDefault="006623C5" w:rsidP="006623C5">
      <w:pPr>
        <w:pStyle w:val="FSCnMain"/>
        <w:tabs>
          <w:tab w:val="clear" w:pos="1701"/>
          <w:tab w:val="left" w:pos="2268"/>
        </w:tabs>
        <w:ind w:left="3402" w:hanging="708"/>
      </w:pPr>
      <w:r>
        <w:t>(L) vitamins; or</w:t>
      </w:r>
    </w:p>
    <w:p w14:paraId="4E29C7FA" w14:textId="77777777" w:rsidR="006623C5" w:rsidRDefault="006623C5" w:rsidP="006623C5">
      <w:pPr>
        <w:pStyle w:val="FSCnMain"/>
        <w:tabs>
          <w:tab w:val="clear" w:pos="1701"/>
          <w:tab w:val="left" w:pos="1985"/>
        </w:tabs>
        <w:ind w:left="3402" w:hanging="992"/>
      </w:pPr>
      <w:r>
        <w:t>(ii) *glycaemic index or glycaemic load; and</w:t>
      </w:r>
    </w:p>
    <w:p w14:paraId="33E994FE" w14:textId="77777777" w:rsidR="006623C5" w:rsidRDefault="006623C5" w:rsidP="006623C5">
      <w:pPr>
        <w:pStyle w:val="FSCnMain"/>
        <w:tabs>
          <w:tab w:val="clear" w:pos="1701"/>
          <w:tab w:val="left" w:pos="1985"/>
        </w:tabs>
        <w:ind w:left="3402" w:hanging="1275"/>
      </w:pPr>
      <w:r>
        <w:t>(b) does not refer to the presence or absence of alcohol; and</w:t>
      </w:r>
    </w:p>
    <w:p w14:paraId="23059F94" w14:textId="77777777" w:rsidR="006623C5" w:rsidRDefault="006623C5" w:rsidP="006623C5">
      <w:pPr>
        <w:pStyle w:val="FSCnMain"/>
        <w:tabs>
          <w:tab w:val="clear" w:pos="1701"/>
          <w:tab w:val="left" w:pos="1985"/>
        </w:tabs>
        <w:ind w:left="3402" w:hanging="1275"/>
      </w:pPr>
      <w:r>
        <w:t>(c) is not a *health claim.</w:t>
      </w:r>
    </w:p>
    <w:p w14:paraId="29C7B94C" w14:textId="77777777" w:rsidR="006623C5" w:rsidRDefault="006623C5" w:rsidP="006623C5">
      <w:pPr>
        <w:pStyle w:val="FSCnPara"/>
        <w:tabs>
          <w:tab w:val="clear" w:pos="2268"/>
          <w:tab w:val="left" w:pos="1701"/>
        </w:tabs>
      </w:pPr>
      <w:r>
        <w:rPr>
          <w:b/>
          <w:i/>
        </w:rPr>
        <w:tab/>
      </w:r>
      <w:r w:rsidRPr="00EE44D5">
        <w:rPr>
          <w:b/>
          <w:i/>
        </w:rPr>
        <w:t>Note</w:t>
      </w:r>
      <w:r>
        <w:t xml:space="preserve"> See also subsections 2.6.2—5(4) and 2.10.2—8(3).</w:t>
      </w:r>
    </w:p>
    <w:p w14:paraId="6E1C6BDA" w14:textId="77777777" w:rsidR="006623C5" w:rsidRDefault="006623C5" w:rsidP="006623C5">
      <w:pPr>
        <w:pStyle w:val="FSCh4Div"/>
      </w:pPr>
      <w:r>
        <w:t>Division 2</w:t>
      </w:r>
      <w:r>
        <w:tab/>
        <w:t>Packaged water</w:t>
      </w:r>
    </w:p>
    <w:p w14:paraId="536282D4" w14:textId="77777777" w:rsidR="006623C5" w:rsidRDefault="006623C5" w:rsidP="006623C5">
      <w:pPr>
        <w:pStyle w:val="FSCDraftingitem"/>
      </w:pPr>
      <w:r>
        <w:t>[3.3]</w:t>
      </w:r>
      <w:r>
        <w:tab/>
        <w:t>inserting after section 2.6.2—5</w:t>
      </w:r>
    </w:p>
    <w:p w14:paraId="0541E9F1" w14:textId="77777777" w:rsidR="006623C5" w:rsidRDefault="006623C5" w:rsidP="006623C5">
      <w:pPr>
        <w:pStyle w:val="FSCh4Div"/>
      </w:pPr>
      <w:r>
        <w:t>Division 3</w:t>
      </w:r>
      <w:r>
        <w:tab/>
        <w:t>Non-alcoholic beverages and brewed soft drinks</w:t>
      </w:r>
    </w:p>
    <w:p w14:paraId="4CB87DBE" w14:textId="77777777" w:rsidR="006623C5" w:rsidRDefault="006623C5" w:rsidP="006623C5">
      <w:pPr>
        <w:pStyle w:val="FSCDraftingitem"/>
      </w:pPr>
      <w:r>
        <w:t>[3.4]</w:t>
      </w:r>
      <w:r>
        <w:tab/>
        <w:t>omitting sections 2.6.2—9</w:t>
      </w:r>
      <w:r w:rsidRPr="00C27985">
        <w:t xml:space="preserve"> </w:t>
      </w:r>
      <w:r>
        <w:t>to 2.6.2—13 inclusive, substituting</w:t>
      </w:r>
    </w:p>
    <w:p w14:paraId="5CBCCEE5" w14:textId="77777777" w:rsidR="006623C5" w:rsidRDefault="006623C5" w:rsidP="006623C5">
      <w:pPr>
        <w:pStyle w:val="FSCh5Section"/>
      </w:pPr>
      <w:r>
        <w:t>2.6.2—9</w:t>
      </w:r>
      <w:r>
        <w:tab/>
        <w:t xml:space="preserve">Requirement for food sold as a formulated beverage </w:t>
      </w:r>
    </w:p>
    <w:p w14:paraId="5259FE1C" w14:textId="77777777" w:rsidR="006623C5" w:rsidRDefault="006623C5" w:rsidP="006623C5">
      <w:pPr>
        <w:pStyle w:val="FSCtMain"/>
      </w:pPr>
      <w:r>
        <w:tab/>
      </w:r>
      <w:r>
        <w:tab/>
        <w:t>A food sold as a formulated beverage must be a formulated beverage.</w:t>
      </w:r>
    </w:p>
    <w:p w14:paraId="6176469F" w14:textId="77777777" w:rsidR="006623C5" w:rsidRDefault="006623C5" w:rsidP="006623C5">
      <w:pPr>
        <w:pStyle w:val="FSCh4Div"/>
      </w:pPr>
      <w:r>
        <w:t>Division 4</w:t>
      </w:r>
      <w:r>
        <w:tab/>
        <w:t>Electrolyte drinks and electrolyte drink bases</w:t>
      </w:r>
    </w:p>
    <w:p w14:paraId="1180226C" w14:textId="77777777" w:rsidR="006623C5" w:rsidRDefault="006623C5" w:rsidP="006623C5">
      <w:pPr>
        <w:pStyle w:val="FSCh5Section"/>
      </w:pPr>
      <w:r>
        <w:t>2.6.2—10</w:t>
      </w:r>
      <w:r>
        <w:tab/>
        <w:t>Definitions and interpretation</w:t>
      </w:r>
    </w:p>
    <w:p w14:paraId="7BB548D8" w14:textId="77777777" w:rsidR="006623C5" w:rsidRPr="00797A71" w:rsidRDefault="006623C5" w:rsidP="006623C5">
      <w:pPr>
        <w:pStyle w:val="FSCtMain"/>
        <w:rPr>
          <w:i/>
        </w:rPr>
      </w:pPr>
      <w:r w:rsidRPr="00797A71">
        <w:rPr>
          <w:i/>
        </w:rPr>
        <w:tab/>
      </w:r>
      <w:r w:rsidRPr="00797A71">
        <w:rPr>
          <w:i/>
        </w:rPr>
        <w:tab/>
        <w:t>Definitions</w:t>
      </w:r>
    </w:p>
    <w:p w14:paraId="74B88ED6" w14:textId="77777777" w:rsidR="006623C5" w:rsidRDefault="006623C5" w:rsidP="006623C5">
      <w:pPr>
        <w:pStyle w:val="FSCtMain"/>
      </w:pPr>
      <w:r>
        <w:tab/>
        <w:t>(1)</w:t>
      </w:r>
      <w:r>
        <w:tab/>
        <w:t>In this Division:</w:t>
      </w:r>
    </w:p>
    <w:p w14:paraId="674C980F" w14:textId="77777777" w:rsidR="006623C5" w:rsidRDefault="006623C5" w:rsidP="006623C5">
      <w:pPr>
        <w:pStyle w:val="FSCtMain"/>
      </w:pPr>
      <w:r>
        <w:tab/>
      </w:r>
      <w:r>
        <w:tab/>
      </w:r>
      <w:r>
        <w:rPr>
          <w:b/>
          <w:i/>
        </w:rPr>
        <w:t>Prescribed</w:t>
      </w:r>
      <w:r w:rsidRPr="0031025D">
        <w:rPr>
          <w:b/>
          <w:i/>
        </w:rPr>
        <w:t xml:space="preserve"> </w:t>
      </w:r>
      <w:r>
        <w:rPr>
          <w:b/>
          <w:i/>
        </w:rPr>
        <w:t>electrolyte</w:t>
      </w:r>
      <w:r>
        <w:t xml:space="preserve"> means any of the following:</w:t>
      </w:r>
    </w:p>
    <w:p w14:paraId="00725C15" w14:textId="77777777" w:rsidR="006623C5" w:rsidRPr="004907E2" w:rsidRDefault="006623C5" w:rsidP="006623C5">
      <w:pPr>
        <w:pStyle w:val="FSCtSubpara"/>
        <w:tabs>
          <w:tab w:val="clear" w:pos="2268"/>
          <w:tab w:val="left" w:pos="2835"/>
        </w:tabs>
        <w:ind w:left="3402" w:hanging="3402"/>
        <w:rPr>
          <w:szCs w:val="20"/>
        </w:rPr>
      </w:pPr>
      <w:r>
        <w:rPr>
          <w:szCs w:val="20"/>
        </w:rPr>
        <w:tab/>
        <w:t>(a)</w:t>
      </w:r>
      <w:r>
        <w:rPr>
          <w:szCs w:val="20"/>
        </w:rPr>
        <w:tab/>
      </w:r>
      <w:r w:rsidRPr="004907E2">
        <w:rPr>
          <w:szCs w:val="20"/>
        </w:rPr>
        <w:t xml:space="preserve">sodium; </w:t>
      </w:r>
    </w:p>
    <w:p w14:paraId="3E4342EF" w14:textId="77777777" w:rsidR="006623C5" w:rsidRPr="004907E2" w:rsidRDefault="006623C5" w:rsidP="006623C5">
      <w:pPr>
        <w:pStyle w:val="FSCtSubpara"/>
        <w:tabs>
          <w:tab w:val="clear" w:pos="2268"/>
          <w:tab w:val="left" w:pos="2835"/>
        </w:tabs>
        <w:ind w:left="3402" w:hanging="3402"/>
        <w:rPr>
          <w:szCs w:val="20"/>
        </w:rPr>
      </w:pPr>
      <w:r>
        <w:rPr>
          <w:szCs w:val="20"/>
        </w:rPr>
        <w:tab/>
        <w:t>(b)</w:t>
      </w:r>
      <w:r>
        <w:rPr>
          <w:szCs w:val="20"/>
        </w:rPr>
        <w:tab/>
      </w:r>
      <w:r w:rsidRPr="004907E2">
        <w:rPr>
          <w:szCs w:val="20"/>
        </w:rPr>
        <w:t xml:space="preserve">potassium; </w:t>
      </w:r>
    </w:p>
    <w:p w14:paraId="356B923C" w14:textId="77777777" w:rsidR="006623C5" w:rsidRPr="004907E2" w:rsidRDefault="006623C5" w:rsidP="006623C5">
      <w:pPr>
        <w:pStyle w:val="FSCtSubpara"/>
        <w:tabs>
          <w:tab w:val="clear" w:pos="2268"/>
          <w:tab w:val="left" w:pos="2835"/>
        </w:tabs>
        <w:ind w:left="3402" w:hanging="3402"/>
        <w:rPr>
          <w:szCs w:val="20"/>
        </w:rPr>
      </w:pPr>
      <w:r>
        <w:rPr>
          <w:szCs w:val="20"/>
        </w:rPr>
        <w:tab/>
        <w:t>(c)</w:t>
      </w:r>
      <w:r>
        <w:rPr>
          <w:szCs w:val="20"/>
        </w:rPr>
        <w:tab/>
      </w:r>
      <w:r w:rsidRPr="004907E2">
        <w:rPr>
          <w:szCs w:val="20"/>
        </w:rPr>
        <w:t>calcium;</w:t>
      </w:r>
    </w:p>
    <w:p w14:paraId="7AD5CAB4" w14:textId="77777777" w:rsidR="006623C5" w:rsidRPr="004907E2" w:rsidRDefault="006623C5" w:rsidP="006623C5">
      <w:pPr>
        <w:pStyle w:val="FSCtSubpara"/>
        <w:tabs>
          <w:tab w:val="clear" w:pos="2268"/>
          <w:tab w:val="left" w:pos="2835"/>
        </w:tabs>
        <w:ind w:left="3402" w:hanging="3402"/>
        <w:rPr>
          <w:szCs w:val="20"/>
        </w:rPr>
      </w:pPr>
      <w:r>
        <w:rPr>
          <w:szCs w:val="20"/>
        </w:rPr>
        <w:tab/>
        <w:t>(d)</w:t>
      </w:r>
      <w:r>
        <w:rPr>
          <w:szCs w:val="20"/>
        </w:rPr>
        <w:tab/>
      </w:r>
      <w:r w:rsidRPr="004907E2">
        <w:rPr>
          <w:szCs w:val="20"/>
        </w:rPr>
        <w:t>magnesium;</w:t>
      </w:r>
      <w:r>
        <w:rPr>
          <w:szCs w:val="20"/>
        </w:rPr>
        <w:t xml:space="preserve"> </w:t>
      </w:r>
    </w:p>
    <w:p w14:paraId="76CE6375" w14:textId="77777777" w:rsidR="006623C5" w:rsidRDefault="006623C5" w:rsidP="006623C5">
      <w:pPr>
        <w:pStyle w:val="FSCtSubpara"/>
        <w:tabs>
          <w:tab w:val="clear" w:pos="2268"/>
          <w:tab w:val="left" w:pos="2835"/>
        </w:tabs>
        <w:ind w:left="3402" w:hanging="3402"/>
        <w:rPr>
          <w:szCs w:val="20"/>
        </w:rPr>
      </w:pPr>
      <w:r>
        <w:rPr>
          <w:szCs w:val="20"/>
        </w:rPr>
        <w:tab/>
        <w:t>(e)</w:t>
      </w:r>
      <w:r>
        <w:rPr>
          <w:szCs w:val="20"/>
        </w:rPr>
        <w:tab/>
      </w:r>
      <w:r w:rsidRPr="004907E2">
        <w:rPr>
          <w:szCs w:val="20"/>
        </w:rPr>
        <w:t>chloride.</w:t>
      </w:r>
    </w:p>
    <w:p w14:paraId="66CA7A4F" w14:textId="77777777" w:rsidR="006623C5" w:rsidRPr="00E4598C" w:rsidRDefault="006623C5" w:rsidP="006623C5">
      <w:pPr>
        <w:pStyle w:val="FSCtMain"/>
        <w:rPr>
          <w:i/>
        </w:rPr>
      </w:pPr>
      <w:r w:rsidRPr="00797A71">
        <w:rPr>
          <w:i/>
        </w:rPr>
        <w:tab/>
      </w:r>
      <w:r w:rsidRPr="00797A71">
        <w:rPr>
          <w:i/>
        </w:rPr>
        <w:tab/>
        <w:t>Interpretation of compositional and declaration requirements</w:t>
      </w:r>
    </w:p>
    <w:p w14:paraId="00C31DD1" w14:textId="77777777" w:rsidR="006623C5" w:rsidRPr="00E4598C" w:rsidRDefault="006623C5" w:rsidP="006623C5">
      <w:pPr>
        <w:pStyle w:val="FSCtMain"/>
      </w:pPr>
      <w:r w:rsidRPr="00E4598C">
        <w:tab/>
        <w:t>(2)</w:t>
      </w:r>
      <w:r w:rsidRPr="00E4598C">
        <w:tab/>
      </w:r>
      <w:r w:rsidRPr="00E4598C">
        <w:rPr>
          <w:szCs w:val="20"/>
        </w:rPr>
        <w:t>For an electrolyte drink base, the compositional and declaration requirements in this Division apply to an electrolyte drink base as ready to drink</w:t>
      </w:r>
      <w:r w:rsidRPr="00E4598C">
        <w:t>.</w:t>
      </w:r>
    </w:p>
    <w:p w14:paraId="585B8ABB" w14:textId="77777777" w:rsidR="006623C5" w:rsidRPr="001D1563" w:rsidRDefault="006623C5" w:rsidP="006623C5">
      <w:pPr>
        <w:pStyle w:val="FSCh5Section"/>
      </w:pPr>
      <w:bookmarkStart w:id="329" w:name="_Toc371505592"/>
      <w:bookmarkStart w:id="330" w:name="_Toc400032208"/>
      <w:r>
        <w:t>2.6.2—11</w:t>
      </w:r>
      <w:r w:rsidRPr="001D1563">
        <w:tab/>
      </w:r>
      <w:r>
        <w:t>Composition of</w:t>
      </w:r>
      <w:r w:rsidRPr="001D1563">
        <w:t xml:space="preserve"> electrolyte drink or electrolyte drink base</w:t>
      </w:r>
      <w:bookmarkEnd w:id="329"/>
      <w:bookmarkEnd w:id="330"/>
    </w:p>
    <w:p w14:paraId="4AE5FD6D" w14:textId="77777777" w:rsidR="006623C5" w:rsidRPr="001D1563" w:rsidRDefault="006623C5" w:rsidP="006623C5">
      <w:pPr>
        <w:pStyle w:val="FSCtMain"/>
      </w:pPr>
      <w:r>
        <w:tab/>
        <w:t>(1)</w:t>
      </w:r>
      <w:r>
        <w:tab/>
      </w:r>
      <w:r w:rsidRPr="001D1563">
        <w:t>A food that is sold as an electrolyte drink or an electrolyte drink base must</w:t>
      </w:r>
      <w:r>
        <w:t xml:space="preserve"> </w:t>
      </w:r>
      <w:r w:rsidRPr="001D1563">
        <w:t>be an electrolyte drink or an electrolyte drink base, as appropriate</w:t>
      </w:r>
      <w:r>
        <w:t>.</w:t>
      </w:r>
    </w:p>
    <w:p w14:paraId="74382D90" w14:textId="77777777" w:rsidR="006623C5" w:rsidRPr="001D1563" w:rsidRDefault="006623C5" w:rsidP="006623C5">
      <w:pPr>
        <w:pStyle w:val="FSCtPara"/>
        <w:tabs>
          <w:tab w:val="clear" w:pos="1701"/>
          <w:tab w:val="left" w:pos="1134"/>
        </w:tabs>
        <w:ind w:left="1701" w:hanging="1701"/>
      </w:pPr>
      <w:r>
        <w:tab/>
        <w:t>(2)</w:t>
      </w:r>
      <w:r>
        <w:tab/>
        <w:t>An</w:t>
      </w:r>
      <w:r w:rsidRPr="001D1563">
        <w:t xml:space="preserve"> electrolyte drink or electrolyte drink base </w:t>
      </w:r>
      <w:r>
        <w:t xml:space="preserve">must </w:t>
      </w:r>
      <w:r w:rsidRPr="001D1563">
        <w:t>contain:</w:t>
      </w:r>
    </w:p>
    <w:p w14:paraId="2A38EDE4" w14:textId="77777777" w:rsidR="006623C5" w:rsidRPr="001D1563" w:rsidRDefault="006623C5" w:rsidP="006623C5">
      <w:pPr>
        <w:pStyle w:val="FSCtSubpara"/>
        <w:tabs>
          <w:tab w:val="clear" w:pos="2268"/>
          <w:tab w:val="left" w:pos="1701"/>
        </w:tabs>
        <w:ind w:left="2268" w:hanging="2268"/>
      </w:pPr>
      <w:r>
        <w:tab/>
        <w:t>(a</w:t>
      </w:r>
      <w:r w:rsidRPr="001D1563">
        <w:t>)</w:t>
      </w:r>
      <w:r w:rsidRPr="001D1563">
        <w:tab/>
        <w:t>no less than 10 mmol/L of sodium; and</w:t>
      </w:r>
    </w:p>
    <w:p w14:paraId="650B11FA" w14:textId="77777777" w:rsidR="006623C5" w:rsidRPr="001D1563" w:rsidRDefault="006623C5" w:rsidP="006623C5">
      <w:pPr>
        <w:pStyle w:val="FSCtSubpara"/>
        <w:tabs>
          <w:tab w:val="clear" w:pos="2268"/>
          <w:tab w:val="left" w:pos="1701"/>
        </w:tabs>
        <w:ind w:left="2268" w:hanging="2268"/>
      </w:pPr>
      <w:r>
        <w:tab/>
        <w:t>(b</w:t>
      </w:r>
      <w:r w:rsidRPr="001D1563">
        <w:t>)</w:t>
      </w:r>
      <w:r w:rsidRPr="001D1563">
        <w:tab/>
        <w:t xml:space="preserve">no less than </w:t>
      </w:r>
      <w:r>
        <w:t>20</w:t>
      </w:r>
      <w:r w:rsidRPr="001D1563">
        <w:t xml:space="preserve"> g/L and no more than 100 g/L in total of the following:</w:t>
      </w:r>
    </w:p>
    <w:p w14:paraId="74BD8EF7" w14:textId="77777777" w:rsidR="006623C5" w:rsidRPr="001D1563" w:rsidRDefault="006623C5" w:rsidP="006623C5">
      <w:pPr>
        <w:pStyle w:val="FSCtSubsub"/>
        <w:tabs>
          <w:tab w:val="clear" w:pos="2835"/>
          <w:tab w:val="left" w:pos="2268"/>
        </w:tabs>
        <w:ind w:left="2835" w:hanging="2835"/>
      </w:pPr>
      <w:r>
        <w:lastRenderedPageBreak/>
        <w:tab/>
        <w:t>(i</w:t>
      </w:r>
      <w:r w:rsidRPr="001D1563">
        <w:t>)</w:t>
      </w:r>
      <w:r w:rsidRPr="001D1563">
        <w:tab/>
        <w:t>dextrose;</w:t>
      </w:r>
    </w:p>
    <w:p w14:paraId="27229032" w14:textId="77777777" w:rsidR="006623C5" w:rsidRPr="001D1563" w:rsidRDefault="006623C5" w:rsidP="006623C5">
      <w:pPr>
        <w:pStyle w:val="FSCtSubsub"/>
        <w:tabs>
          <w:tab w:val="clear" w:pos="2835"/>
          <w:tab w:val="left" w:pos="2268"/>
        </w:tabs>
        <w:ind w:left="2835" w:hanging="2835"/>
      </w:pPr>
      <w:r>
        <w:tab/>
        <w:t>(ii</w:t>
      </w:r>
      <w:r w:rsidRPr="001D1563">
        <w:t>)</w:t>
      </w:r>
      <w:r w:rsidRPr="001D1563">
        <w:tab/>
        <w:t>fructose;</w:t>
      </w:r>
    </w:p>
    <w:p w14:paraId="74028861" w14:textId="77777777" w:rsidR="006623C5" w:rsidRPr="001D1563" w:rsidRDefault="006623C5" w:rsidP="006623C5">
      <w:pPr>
        <w:pStyle w:val="FSCtSubsub"/>
        <w:tabs>
          <w:tab w:val="clear" w:pos="2835"/>
          <w:tab w:val="left" w:pos="2268"/>
        </w:tabs>
        <w:ind w:left="2835" w:hanging="2835"/>
      </w:pPr>
      <w:r>
        <w:tab/>
        <w:t>(iii</w:t>
      </w:r>
      <w:r w:rsidRPr="001D1563">
        <w:t>)</w:t>
      </w:r>
      <w:r w:rsidRPr="001D1563">
        <w:tab/>
        <w:t>glucose syrup;</w:t>
      </w:r>
    </w:p>
    <w:p w14:paraId="2036F69D" w14:textId="77777777" w:rsidR="006623C5" w:rsidRPr="001D1563" w:rsidRDefault="006623C5" w:rsidP="006623C5">
      <w:pPr>
        <w:pStyle w:val="FSCtSubsub"/>
        <w:tabs>
          <w:tab w:val="clear" w:pos="2835"/>
          <w:tab w:val="left" w:pos="2268"/>
        </w:tabs>
        <w:ind w:left="2835" w:hanging="2835"/>
      </w:pPr>
      <w:r>
        <w:tab/>
        <w:t>(iv</w:t>
      </w:r>
      <w:r w:rsidRPr="001D1563">
        <w:t>)</w:t>
      </w:r>
      <w:r w:rsidRPr="001D1563">
        <w:tab/>
        <w:t>maltodextrin;</w:t>
      </w:r>
    </w:p>
    <w:p w14:paraId="779FA4CC" w14:textId="77777777" w:rsidR="006623C5" w:rsidRPr="001D1563" w:rsidRDefault="006623C5" w:rsidP="006623C5">
      <w:pPr>
        <w:pStyle w:val="FSCtSubsub"/>
        <w:tabs>
          <w:tab w:val="clear" w:pos="2835"/>
          <w:tab w:val="left" w:pos="2268"/>
        </w:tabs>
        <w:ind w:left="2835" w:hanging="2835"/>
      </w:pPr>
      <w:r>
        <w:tab/>
        <w:t>(v</w:t>
      </w:r>
      <w:r w:rsidRPr="001D1563">
        <w:t>)</w:t>
      </w:r>
      <w:r w:rsidRPr="001D1563">
        <w:tab/>
        <w:t>sucrose; and</w:t>
      </w:r>
    </w:p>
    <w:p w14:paraId="4282160D" w14:textId="77777777" w:rsidR="006623C5" w:rsidRPr="001D1563" w:rsidRDefault="006623C5" w:rsidP="006623C5">
      <w:pPr>
        <w:pStyle w:val="FSCtSubpara"/>
        <w:tabs>
          <w:tab w:val="clear" w:pos="2268"/>
          <w:tab w:val="left" w:pos="1701"/>
        </w:tabs>
        <w:ind w:left="2268" w:hanging="2268"/>
      </w:pPr>
      <w:r>
        <w:tab/>
        <w:t>(c</w:t>
      </w:r>
      <w:r w:rsidRPr="001D1563">
        <w:t>)</w:t>
      </w:r>
      <w:r w:rsidRPr="001D1563">
        <w:tab/>
        <w:t xml:space="preserve">no more than </w:t>
      </w:r>
      <w:r>
        <w:t>20 g/L fructose</w:t>
      </w:r>
      <w:r w:rsidRPr="001D1563">
        <w:t>.</w:t>
      </w:r>
    </w:p>
    <w:p w14:paraId="1394D8F3" w14:textId="77777777" w:rsidR="006623C5" w:rsidRPr="001D1563" w:rsidRDefault="006623C5" w:rsidP="006623C5">
      <w:pPr>
        <w:pStyle w:val="FSCtMain"/>
      </w:pPr>
      <w:r>
        <w:tab/>
        <w:t>(3)</w:t>
      </w:r>
      <w:r>
        <w:tab/>
        <w:t>An</w:t>
      </w:r>
      <w:r w:rsidRPr="001D1563">
        <w:t xml:space="preserve"> electrolyte drink or electrolyte drink base </w:t>
      </w:r>
      <w:r>
        <w:t xml:space="preserve">may </w:t>
      </w:r>
      <w:r w:rsidRPr="001D1563">
        <w:t>contain:</w:t>
      </w:r>
    </w:p>
    <w:p w14:paraId="5053AF27" w14:textId="77777777" w:rsidR="006623C5" w:rsidRPr="001D1563" w:rsidRDefault="006623C5" w:rsidP="006623C5">
      <w:pPr>
        <w:pStyle w:val="FSCtPara"/>
      </w:pPr>
      <w:r w:rsidRPr="001D1563">
        <w:tab/>
        <w:t>(a)</w:t>
      </w:r>
      <w:r w:rsidRPr="001D1563">
        <w:tab/>
        <w:t>calcium phosphates;</w:t>
      </w:r>
    </w:p>
    <w:p w14:paraId="357352F2" w14:textId="77777777" w:rsidR="006623C5" w:rsidRPr="001D1563" w:rsidRDefault="006623C5" w:rsidP="006623C5">
      <w:pPr>
        <w:pStyle w:val="FSCtPara"/>
      </w:pPr>
      <w:r w:rsidRPr="001D1563">
        <w:tab/>
        <w:t>(b)</w:t>
      </w:r>
      <w:r w:rsidRPr="001D1563">
        <w:tab/>
        <w:t>potassium phosphates;</w:t>
      </w:r>
    </w:p>
    <w:p w14:paraId="2441D759" w14:textId="77777777" w:rsidR="006623C5" w:rsidRPr="001D1563" w:rsidRDefault="006623C5" w:rsidP="006623C5">
      <w:pPr>
        <w:pStyle w:val="FSCtPara"/>
      </w:pPr>
      <w:r w:rsidRPr="001D1563">
        <w:tab/>
        <w:t>(c)</w:t>
      </w:r>
      <w:r w:rsidRPr="001D1563">
        <w:tab/>
        <w:t>calcium citrates;</w:t>
      </w:r>
    </w:p>
    <w:p w14:paraId="0CEF251C" w14:textId="77777777" w:rsidR="006623C5" w:rsidRPr="001D1563" w:rsidRDefault="006623C5" w:rsidP="006623C5">
      <w:pPr>
        <w:pStyle w:val="FSCtPara"/>
      </w:pPr>
      <w:r w:rsidRPr="001D1563">
        <w:tab/>
        <w:t>(d)</w:t>
      </w:r>
      <w:r w:rsidRPr="001D1563">
        <w:tab/>
        <w:t>potassium citrates;</w:t>
      </w:r>
    </w:p>
    <w:p w14:paraId="4D6F6A5A" w14:textId="77777777" w:rsidR="006623C5" w:rsidRPr="001D1563" w:rsidRDefault="006623C5" w:rsidP="006623C5">
      <w:pPr>
        <w:pStyle w:val="FSCtPara"/>
      </w:pPr>
      <w:r w:rsidRPr="001D1563">
        <w:tab/>
        <w:t>(e)</w:t>
      </w:r>
      <w:r w:rsidRPr="001D1563">
        <w:tab/>
        <w:t>sodium citrates;</w:t>
      </w:r>
    </w:p>
    <w:p w14:paraId="464FEDF7" w14:textId="77777777" w:rsidR="006623C5" w:rsidRPr="001D1563" w:rsidRDefault="006623C5" w:rsidP="006623C5">
      <w:pPr>
        <w:pStyle w:val="FSCtPara"/>
      </w:pPr>
      <w:r w:rsidRPr="001D1563">
        <w:tab/>
        <w:t>(f)</w:t>
      </w:r>
      <w:r w:rsidRPr="001D1563">
        <w:tab/>
        <w:t>potassium carbonates, including potassium bicarbonate;</w:t>
      </w:r>
    </w:p>
    <w:p w14:paraId="0368EC75" w14:textId="77777777" w:rsidR="006623C5" w:rsidRPr="001D1563" w:rsidRDefault="006623C5" w:rsidP="006623C5">
      <w:pPr>
        <w:pStyle w:val="FSCtPara"/>
      </w:pPr>
      <w:r w:rsidRPr="001D1563">
        <w:tab/>
        <w:t>(g)</w:t>
      </w:r>
      <w:r w:rsidRPr="001D1563">
        <w:tab/>
        <w:t>potassium chloride;</w:t>
      </w:r>
    </w:p>
    <w:p w14:paraId="6B44022B" w14:textId="77777777" w:rsidR="006623C5" w:rsidRPr="001D1563" w:rsidRDefault="006623C5" w:rsidP="006623C5">
      <w:pPr>
        <w:pStyle w:val="FSCtPara"/>
      </w:pPr>
      <w:r w:rsidRPr="001D1563">
        <w:tab/>
        <w:t>(h)</w:t>
      </w:r>
      <w:r w:rsidRPr="001D1563">
        <w:tab/>
        <w:t>calcium chloride;</w:t>
      </w:r>
    </w:p>
    <w:p w14:paraId="2B141845" w14:textId="77777777" w:rsidR="006623C5" w:rsidRPr="001D1563" w:rsidRDefault="006623C5" w:rsidP="006623C5">
      <w:pPr>
        <w:pStyle w:val="FSCtPara"/>
      </w:pPr>
      <w:r w:rsidRPr="001D1563">
        <w:tab/>
        <w:t>(i)</w:t>
      </w:r>
      <w:r w:rsidRPr="001D1563">
        <w:tab/>
        <w:t>sodium chloride;</w:t>
      </w:r>
    </w:p>
    <w:p w14:paraId="3CF3D13B" w14:textId="77777777" w:rsidR="006623C5" w:rsidRPr="001D1563" w:rsidRDefault="006623C5" w:rsidP="006623C5">
      <w:pPr>
        <w:pStyle w:val="FSCtPara"/>
      </w:pPr>
      <w:r w:rsidRPr="001D1563">
        <w:tab/>
        <w:t>(j)</w:t>
      </w:r>
      <w:r w:rsidRPr="001D1563">
        <w:tab/>
        <w:t>calcium lactate;</w:t>
      </w:r>
    </w:p>
    <w:p w14:paraId="70AE86D1" w14:textId="77777777" w:rsidR="006623C5" w:rsidRPr="001D1563" w:rsidRDefault="006623C5" w:rsidP="006623C5">
      <w:pPr>
        <w:pStyle w:val="FSCtPara"/>
      </w:pPr>
      <w:r w:rsidRPr="001D1563">
        <w:tab/>
        <w:t>(k)</w:t>
      </w:r>
      <w:r w:rsidRPr="001D1563">
        <w:tab/>
        <w:t>magnesium lactate;</w:t>
      </w:r>
    </w:p>
    <w:p w14:paraId="7276FD94" w14:textId="77777777" w:rsidR="006623C5" w:rsidRPr="001D1563" w:rsidRDefault="006623C5" w:rsidP="006623C5">
      <w:pPr>
        <w:pStyle w:val="FSCtPara"/>
      </w:pPr>
      <w:r w:rsidRPr="001D1563">
        <w:tab/>
        <w:t>(l)</w:t>
      </w:r>
      <w:r w:rsidRPr="001D1563">
        <w:tab/>
        <w:t>magnesium sulphate.</w:t>
      </w:r>
    </w:p>
    <w:p w14:paraId="59EB0822" w14:textId="77777777" w:rsidR="006623C5" w:rsidRPr="001D1563" w:rsidRDefault="006623C5" w:rsidP="006623C5">
      <w:pPr>
        <w:pStyle w:val="FSCh5Section"/>
      </w:pPr>
      <w:bookmarkStart w:id="331" w:name="_Ref332964832"/>
      <w:bookmarkStart w:id="332" w:name="_Toc371505593"/>
      <w:bookmarkStart w:id="333" w:name="_Toc400032210"/>
      <w:r>
        <w:t>2.6.2—12</w:t>
      </w:r>
      <w:r w:rsidRPr="001D1563">
        <w:tab/>
        <w:t>Labelling of electrolyte drinks and electrolyte drink bases</w:t>
      </w:r>
      <w:bookmarkEnd w:id="331"/>
      <w:bookmarkEnd w:id="332"/>
      <w:bookmarkEnd w:id="333"/>
    </w:p>
    <w:p w14:paraId="28A3D373" w14:textId="77777777" w:rsidR="006623C5" w:rsidRDefault="006623C5" w:rsidP="006623C5">
      <w:pPr>
        <w:pStyle w:val="FSCtMain"/>
      </w:pPr>
      <w:r w:rsidRPr="001D1563">
        <w:tab/>
        <w:t>(1)</w:t>
      </w:r>
      <w:r w:rsidRPr="001D1563">
        <w:tab/>
      </w:r>
      <w:r w:rsidRPr="0013132B">
        <w:rPr>
          <w:szCs w:val="20"/>
        </w:rPr>
        <w:t xml:space="preserve">‘Electrolyte drink’ is a *prescribed name for an electrolyte drink and </w:t>
      </w:r>
      <w:r>
        <w:rPr>
          <w:szCs w:val="20"/>
        </w:rPr>
        <w:t xml:space="preserve">an </w:t>
      </w:r>
      <w:r w:rsidRPr="0013132B">
        <w:rPr>
          <w:szCs w:val="20"/>
        </w:rPr>
        <w:t>electrolyte drink base</w:t>
      </w:r>
      <w:r>
        <w:t>.</w:t>
      </w:r>
    </w:p>
    <w:p w14:paraId="2FF3A71D" w14:textId="77777777" w:rsidR="006623C5" w:rsidRDefault="006623C5" w:rsidP="006623C5">
      <w:pPr>
        <w:pStyle w:val="FSCtMain"/>
        <w:spacing w:before="60" w:after="60"/>
      </w:pPr>
      <w:r>
        <w:tab/>
        <w:t>(2)</w:t>
      </w:r>
      <w:r>
        <w:tab/>
      </w:r>
      <w:r w:rsidRPr="00E22CB5">
        <w:t xml:space="preserve">For the labelling provisions, </w:t>
      </w:r>
      <w:r w:rsidRPr="00A972E0">
        <w:t>the following information is required</w:t>
      </w:r>
      <w:r w:rsidRPr="00E22CB5">
        <w:t>:</w:t>
      </w:r>
    </w:p>
    <w:p w14:paraId="315ED030" w14:textId="77777777" w:rsidR="006623C5" w:rsidRPr="00AF33DB" w:rsidRDefault="006623C5" w:rsidP="006623C5">
      <w:pPr>
        <w:pStyle w:val="FSCtMain"/>
        <w:tabs>
          <w:tab w:val="clear" w:pos="1134"/>
          <w:tab w:val="left" w:pos="1701"/>
        </w:tabs>
        <w:spacing w:before="60" w:after="60"/>
        <w:ind w:left="2268" w:hanging="2268"/>
      </w:pPr>
      <w:r>
        <w:tab/>
        <w:t>(a)</w:t>
      </w:r>
      <w:r>
        <w:tab/>
      </w:r>
      <w:r w:rsidRPr="001D1563">
        <w:t xml:space="preserve">the recommended volume and </w:t>
      </w:r>
      <w:r w:rsidRPr="00AF33DB">
        <w:t>frequency of use; and</w:t>
      </w:r>
    </w:p>
    <w:p w14:paraId="1D659450" w14:textId="77777777" w:rsidR="006623C5" w:rsidRPr="00AF33DB" w:rsidRDefault="006623C5" w:rsidP="006623C5">
      <w:pPr>
        <w:pStyle w:val="FSCtMain"/>
        <w:tabs>
          <w:tab w:val="clear" w:pos="1134"/>
          <w:tab w:val="left" w:pos="1701"/>
        </w:tabs>
        <w:spacing w:before="60" w:after="60"/>
        <w:ind w:left="2268" w:hanging="2268"/>
      </w:pPr>
      <w:r w:rsidRPr="00AF33DB">
        <w:tab/>
        <w:t>(b)</w:t>
      </w:r>
      <w:r w:rsidRPr="00AF33DB">
        <w:tab/>
        <w:t>the nutrition information panel must also</w:t>
      </w:r>
      <w:r w:rsidRPr="00AF33DB">
        <w:rPr>
          <w:color w:val="FF0000"/>
        </w:rPr>
        <w:t xml:space="preserve"> </w:t>
      </w:r>
      <w:r w:rsidRPr="00AF33DB">
        <w:t xml:space="preserve">declare </w:t>
      </w:r>
      <w:r w:rsidRPr="00AF33DB">
        <w:rPr>
          <w:szCs w:val="20"/>
        </w:rPr>
        <w:t>the *average quantity per serving and per *unit quantity of</w:t>
      </w:r>
      <w:r w:rsidRPr="00AF33DB">
        <w:t>:</w:t>
      </w:r>
    </w:p>
    <w:p w14:paraId="5CF7707E" w14:textId="77777777" w:rsidR="006623C5" w:rsidRDefault="006623C5" w:rsidP="006623C5">
      <w:pPr>
        <w:pStyle w:val="FSCtSubpara"/>
        <w:rPr>
          <w:szCs w:val="20"/>
        </w:rPr>
      </w:pPr>
      <w:r w:rsidRPr="00AF33DB">
        <w:rPr>
          <w:szCs w:val="20"/>
        </w:rPr>
        <w:tab/>
        <w:t>(i)</w:t>
      </w:r>
      <w:r w:rsidRPr="00AF33DB">
        <w:rPr>
          <w:szCs w:val="20"/>
        </w:rPr>
        <w:tab/>
        <w:t>each type of monosaccharide present; and</w:t>
      </w:r>
    </w:p>
    <w:p w14:paraId="1BA36ACA" w14:textId="77777777" w:rsidR="006623C5" w:rsidRPr="00833CB5" w:rsidRDefault="006623C5" w:rsidP="006623C5">
      <w:pPr>
        <w:pStyle w:val="FSCtSubpara"/>
        <w:rPr>
          <w:szCs w:val="20"/>
        </w:rPr>
      </w:pPr>
      <w:r>
        <w:rPr>
          <w:szCs w:val="20"/>
        </w:rPr>
        <w:tab/>
        <w:t>(ii)</w:t>
      </w:r>
      <w:r>
        <w:rPr>
          <w:szCs w:val="20"/>
        </w:rPr>
        <w:tab/>
      </w:r>
      <w:r w:rsidRPr="009F65B0">
        <w:rPr>
          <w:szCs w:val="20"/>
        </w:rPr>
        <w:t>each type</w:t>
      </w:r>
      <w:r w:rsidRPr="00833CB5">
        <w:rPr>
          <w:szCs w:val="20"/>
        </w:rPr>
        <w:t xml:space="preserve"> of disaccharide present; and</w:t>
      </w:r>
    </w:p>
    <w:p w14:paraId="67449921" w14:textId="2B88420A" w:rsidR="006623C5" w:rsidRPr="00AF33DB" w:rsidRDefault="006623C5" w:rsidP="006623C5">
      <w:pPr>
        <w:pStyle w:val="FSCtSubpara"/>
        <w:rPr>
          <w:sz w:val="16"/>
          <w:szCs w:val="16"/>
        </w:rPr>
      </w:pPr>
      <w:r>
        <w:rPr>
          <w:szCs w:val="20"/>
        </w:rPr>
        <w:tab/>
      </w:r>
      <w:r w:rsidRPr="00AF33DB">
        <w:rPr>
          <w:szCs w:val="20"/>
        </w:rPr>
        <w:t>(iii)</w:t>
      </w:r>
      <w:r w:rsidRPr="00AF33DB">
        <w:rPr>
          <w:szCs w:val="20"/>
        </w:rPr>
        <w:tab/>
      </w:r>
      <w:r w:rsidRPr="003F2676">
        <w:rPr>
          <w:szCs w:val="20"/>
        </w:rPr>
        <w:t>subject to subsection (3), each prescribed electrolyte present</w:t>
      </w:r>
      <w:r w:rsidR="00A7216B">
        <w:rPr>
          <w:szCs w:val="20"/>
        </w:rPr>
        <w:t xml:space="preserve"> </w:t>
      </w:r>
      <w:r w:rsidR="00A7216B" w:rsidRPr="004C7BCE">
        <w:rPr>
          <w:color w:val="000000" w:themeColor="text1"/>
        </w:rPr>
        <w:t>(other than sodium)</w:t>
      </w:r>
      <w:r w:rsidRPr="003F2676">
        <w:rPr>
          <w:szCs w:val="20"/>
        </w:rPr>
        <w:t>, expressed in milligrams or both milligrams and millimoles</w:t>
      </w:r>
      <w:r w:rsidRPr="00AF33DB">
        <w:rPr>
          <w:szCs w:val="20"/>
        </w:rPr>
        <w:t>.</w:t>
      </w:r>
    </w:p>
    <w:p w14:paraId="4DB36758" w14:textId="77777777" w:rsidR="006623C5" w:rsidRPr="00AF33DB" w:rsidRDefault="006623C5" w:rsidP="006623C5">
      <w:pPr>
        <w:pStyle w:val="FSCnMain"/>
        <w:tabs>
          <w:tab w:val="clear" w:pos="1701"/>
          <w:tab w:val="left" w:pos="2268"/>
        </w:tabs>
        <w:ind w:left="2835" w:hanging="2835"/>
        <w:rPr>
          <w:szCs w:val="16"/>
        </w:rPr>
      </w:pPr>
      <w:r w:rsidRPr="00AF33DB">
        <w:rPr>
          <w:szCs w:val="16"/>
        </w:rPr>
        <w:tab/>
      </w:r>
      <w:r w:rsidRPr="00AF33DB">
        <w:rPr>
          <w:b/>
          <w:i/>
          <w:szCs w:val="16"/>
        </w:rPr>
        <w:t>Note 1:</w:t>
      </w:r>
      <w:r w:rsidRPr="00AF33DB">
        <w:rPr>
          <w:szCs w:val="16"/>
        </w:rPr>
        <w:tab/>
        <w:t xml:space="preserve"> The labelling provisions are set out in Standard 1.2.1.</w:t>
      </w:r>
    </w:p>
    <w:p w14:paraId="76908B6F" w14:textId="3D6539E6" w:rsidR="006623C5" w:rsidRPr="003F2676" w:rsidRDefault="006623C5" w:rsidP="006623C5">
      <w:pPr>
        <w:pStyle w:val="FSCnMain"/>
        <w:tabs>
          <w:tab w:val="clear" w:pos="1701"/>
          <w:tab w:val="left" w:pos="2268"/>
        </w:tabs>
        <w:ind w:left="2835" w:hanging="2835"/>
      </w:pPr>
      <w:r w:rsidRPr="00AF33DB">
        <w:rPr>
          <w:b/>
          <w:i/>
          <w:szCs w:val="16"/>
        </w:rPr>
        <w:tab/>
        <w:t>Note 2:</w:t>
      </w:r>
      <w:r w:rsidRPr="00AF33DB">
        <w:rPr>
          <w:szCs w:val="16"/>
        </w:rPr>
        <w:t xml:space="preserve"> Section 1.2.8—5 provides that packaged food (unless exempted) must include a nutrition information panel (NIP). Standard 1.2.8 also contains other requirements relating to NIPs e.g. what information must be included and how to express that </w:t>
      </w:r>
      <w:r w:rsidRPr="003F2676">
        <w:rPr>
          <w:szCs w:val="16"/>
        </w:rPr>
        <w:t xml:space="preserve">information in a NIP (see sections 1.2.8—6 and 1.2.8—7). </w:t>
      </w:r>
      <w:r w:rsidRPr="003F2676">
        <w:t>The requirements set out in paragraph 2.6.2—12(2)(b) are in addition to those other requirements.</w:t>
      </w:r>
    </w:p>
    <w:p w14:paraId="6F6AF455" w14:textId="2DB59AA9" w:rsidR="00041960" w:rsidRPr="003F2676" w:rsidRDefault="00041960" w:rsidP="006623C5">
      <w:pPr>
        <w:pStyle w:val="FSCnMain"/>
        <w:tabs>
          <w:tab w:val="clear" w:pos="1701"/>
          <w:tab w:val="left" w:pos="2268"/>
        </w:tabs>
        <w:ind w:left="2835" w:hanging="2835"/>
      </w:pPr>
      <w:r>
        <w:tab/>
      </w:r>
      <w:r w:rsidRPr="00041960">
        <w:rPr>
          <w:b/>
          <w:i/>
        </w:rPr>
        <w:t>Note 3</w:t>
      </w:r>
      <w:r w:rsidRPr="00041960">
        <w:t>: Subparagraph 1.2.8—6(1)(d)(iii) requires that a nutrition information panel must contain (among other information) the average quantity of sodium, expressed in milligrams or both milligrams and millimoles for a serving of the food and a unit quantity of the food.</w:t>
      </w:r>
    </w:p>
    <w:p w14:paraId="224213D1" w14:textId="77777777" w:rsidR="006623C5" w:rsidRPr="003F2676" w:rsidRDefault="006623C5" w:rsidP="006623C5">
      <w:pPr>
        <w:pStyle w:val="FSCtMain"/>
        <w:spacing w:before="60" w:after="60"/>
      </w:pPr>
      <w:r w:rsidRPr="003F2676">
        <w:tab/>
        <w:t>(3)</w:t>
      </w:r>
      <w:r w:rsidRPr="003F2676">
        <w:tab/>
        <w:t xml:space="preserve">Subparagraph 2.6.2—12(2)(b)(iii) applies only in relation to an </w:t>
      </w:r>
      <w:r w:rsidRPr="003F2676">
        <w:rPr>
          <w:szCs w:val="20"/>
        </w:rPr>
        <w:t xml:space="preserve">electrolyte drink or an electrolyte drink base to which a substance listed in subsection </w:t>
      </w:r>
      <w:r w:rsidRPr="003F2676">
        <w:t>2.6.2—11(3) has been added.</w:t>
      </w:r>
    </w:p>
    <w:p w14:paraId="5BFF0161" w14:textId="77777777" w:rsidR="006623C5" w:rsidRPr="00E4598C" w:rsidRDefault="006623C5" w:rsidP="006623C5">
      <w:pPr>
        <w:pStyle w:val="FSCh5Section"/>
      </w:pPr>
      <w:r w:rsidRPr="003F2676">
        <w:t>2.6.2—13</w:t>
      </w:r>
      <w:r w:rsidRPr="003F2676">
        <w:tab/>
        <w:t xml:space="preserve">Labelling requirement for electrolyte drinks </w:t>
      </w:r>
      <w:r w:rsidRPr="00E4598C">
        <w:t>and electrolyte drink bases in small packages</w:t>
      </w:r>
    </w:p>
    <w:p w14:paraId="60E4D8E0" w14:textId="77777777" w:rsidR="006623C5" w:rsidRPr="00E4598C" w:rsidRDefault="006623C5" w:rsidP="006623C5">
      <w:pPr>
        <w:pStyle w:val="FSCtMain"/>
      </w:pPr>
      <w:r w:rsidRPr="00E4598C">
        <w:tab/>
        <w:t>(1)</w:t>
      </w:r>
      <w:r w:rsidRPr="00E4598C">
        <w:tab/>
        <w:t xml:space="preserve">This section applies to an electrolyte drink or electrolyte drink base: </w:t>
      </w:r>
    </w:p>
    <w:p w14:paraId="46610621" w14:textId="77777777" w:rsidR="006623C5" w:rsidRPr="00E4598C" w:rsidRDefault="006623C5" w:rsidP="006623C5">
      <w:pPr>
        <w:pStyle w:val="FSCtMain"/>
        <w:spacing w:before="60" w:after="60"/>
      </w:pPr>
      <w:r w:rsidRPr="00E4598C">
        <w:lastRenderedPageBreak/>
        <w:tab/>
      </w:r>
      <w:r w:rsidRPr="00E4598C">
        <w:tab/>
        <w:t>(a)</w:t>
      </w:r>
      <w:r w:rsidRPr="00E4598C">
        <w:tab/>
        <w:t>that is in a *small package; and</w:t>
      </w:r>
    </w:p>
    <w:p w14:paraId="13350A64" w14:textId="77777777" w:rsidR="006623C5" w:rsidRPr="00E4598C" w:rsidRDefault="006623C5" w:rsidP="006623C5">
      <w:pPr>
        <w:pStyle w:val="FSCtMain"/>
        <w:spacing w:before="60" w:after="60"/>
      </w:pPr>
      <w:r w:rsidRPr="00E4598C">
        <w:tab/>
      </w:r>
      <w:r w:rsidRPr="00E4598C">
        <w:tab/>
        <w:t>(b)</w:t>
      </w:r>
      <w:r w:rsidRPr="00E4598C">
        <w:tab/>
        <w:t>about which a *claim requiring nutrition information is made; and</w:t>
      </w:r>
    </w:p>
    <w:p w14:paraId="74DC4F1B" w14:textId="77777777" w:rsidR="006623C5" w:rsidRPr="00E4598C" w:rsidRDefault="006623C5" w:rsidP="006623C5">
      <w:pPr>
        <w:pStyle w:val="FSCtMain"/>
        <w:spacing w:before="60" w:after="60"/>
      </w:pPr>
      <w:r w:rsidRPr="00E4598C">
        <w:tab/>
      </w:r>
      <w:r w:rsidRPr="00E4598C">
        <w:tab/>
        <w:t>(c)</w:t>
      </w:r>
      <w:r w:rsidRPr="00E4598C">
        <w:tab/>
        <w:t>the claim relates to a prescribed electrolyte.</w:t>
      </w:r>
    </w:p>
    <w:p w14:paraId="42D3A22A" w14:textId="77777777" w:rsidR="006623C5" w:rsidRPr="00E4598C" w:rsidRDefault="006623C5" w:rsidP="006623C5">
      <w:pPr>
        <w:pStyle w:val="FSCtMain"/>
        <w:rPr>
          <w:szCs w:val="20"/>
        </w:rPr>
      </w:pPr>
      <w:r w:rsidRPr="00E4598C">
        <w:tab/>
        <w:t>(2)</w:t>
      </w:r>
      <w:r w:rsidRPr="00E4598C">
        <w:tab/>
        <w:t>For the labelling provisions, the required information includes the</w:t>
      </w:r>
      <w:r w:rsidRPr="00E4598C">
        <w:rPr>
          <w:szCs w:val="20"/>
        </w:rPr>
        <w:t xml:space="preserve"> *average quantity per serving of each prescribed electrolyte present, expressed in milligrams or both milligrams and millimoles.</w:t>
      </w:r>
    </w:p>
    <w:p w14:paraId="4C00F9B4" w14:textId="77777777" w:rsidR="006623C5" w:rsidRPr="00E4598C" w:rsidRDefault="006623C5" w:rsidP="00164C34">
      <w:pPr>
        <w:pStyle w:val="FSCnMain"/>
        <w:tabs>
          <w:tab w:val="left" w:pos="2552"/>
        </w:tabs>
      </w:pPr>
      <w:r w:rsidRPr="00E4598C">
        <w:tab/>
      </w:r>
      <w:r w:rsidRPr="00E4598C">
        <w:rPr>
          <w:b/>
          <w:i/>
        </w:rPr>
        <w:t>Note 1:</w:t>
      </w:r>
      <w:r w:rsidRPr="00E4598C">
        <w:t xml:space="preserve"> </w:t>
      </w:r>
      <w:r w:rsidRPr="00E4598C">
        <w:tab/>
      </w:r>
      <w:r w:rsidRPr="00E4598C">
        <w:rPr>
          <w:szCs w:val="16"/>
        </w:rPr>
        <w:t>The labelling provisions are set out in Standard 1.2.1</w:t>
      </w:r>
      <w:r w:rsidRPr="00E4598C">
        <w:t>.</w:t>
      </w:r>
    </w:p>
    <w:p w14:paraId="5C783D10" w14:textId="11E9A93B" w:rsidR="006623C5" w:rsidRPr="00E4598C" w:rsidRDefault="006623C5" w:rsidP="006623C5">
      <w:pPr>
        <w:pStyle w:val="FSCnMain"/>
        <w:ind w:left="2552"/>
      </w:pPr>
      <w:r w:rsidRPr="00E4598C">
        <w:rPr>
          <w:b/>
          <w:i/>
        </w:rPr>
        <w:tab/>
        <w:t>Note 2:</w:t>
      </w:r>
      <w:r w:rsidRPr="00E4598C">
        <w:tab/>
        <w:t>The requirements of this subsection are in addition to the requirements set out in section 1.2.8—14. Section 1.2.8—14 sets out requirements for food for sale in a small package where a claim requiring nutrition information is made in relation to the food.</w:t>
      </w:r>
    </w:p>
    <w:p w14:paraId="0BCB8461" w14:textId="77777777" w:rsidR="006623C5" w:rsidRPr="00E4598C" w:rsidRDefault="006623C5" w:rsidP="006623C5">
      <w:pPr>
        <w:pStyle w:val="FSCtMain"/>
      </w:pPr>
      <w:r w:rsidRPr="00E4598C">
        <w:rPr>
          <w:szCs w:val="20"/>
        </w:rPr>
        <w:tab/>
        <w:t>(3)</w:t>
      </w:r>
      <w:r w:rsidRPr="00E4598C">
        <w:rPr>
          <w:szCs w:val="20"/>
        </w:rPr>
        <w:tab/>
        <w:t xml:space="preserve">Paragraph </w:t>
      </w:r>
      <w:r w:rsidRPr="00E4598C">
        <w:t xml:space="preserve">1.2.8—14(1)(b) does not apply to a </w:t>
      </w:r>
      <w:r>
        <w:t>*</w:t>
      </w:r>
      <w:r w:rsidRPr="00E4598C">
        <w:t>claim requiring nutrition information that is made about a prescribed electrolyte.</w:t>
      </w:r>
    </w:p>
    <w:p w14:paraId="19A2307E" w14:textId="77777777" w:rsidR="006623C5" w:rsidRPr="00E4598C" w:rsidRDefault="006623C5" w:rsidP="006623C5">
      <w:pPr>
        <w:pStyle w:val="FSCnMain"/>
      </w:pPr>
      <w:r w:rsidRPr="00E4598C">
        <w:tab/>
      </w:r>
      <w:r w:rsidRPr="00E4598C">
        <w:rPr>
          <w:b/>
          <w:i/>
        </w:rPr>
        <w:t>Note:</w:t>
      </w:r>
      <w:r w:rsidRPr="00E4598C">
        <w:t xml:space="preserve"> </w:t>
      </w:r>
      <w:r w:rsidRPr="00E4598C">
        <w:tab/>
      </w:r>
      <w:r w:rsidRPr="00E4598C">
        <w:rPr>
          <w:szCs w:val="20"/>
        </w:rPr>
        <w:t xml:space="preserve">Paragraph </w:t>
      </w:r>
      <w:r w:rsidRPr="00E4598C">
        <w:t xml:space="preserve">1.2.8—14(1)(b) sets out nutrition information requirements for food for sale in a small package where a claim requiring nutrition information is made about a matter listed in Column 1 of the table to section S13—2 (such as sodium or a mineral with </w:t>
      </w:r>
      <w:r>
        <w:t xml:space="preserve">a </w:t>
      </w:r>
      <w:r w:rsidRPr="00BE716A">
        <w:t>Recommended Dietary Intake (RDI)</w:t>
      </w:r>
      <w:r w:rsidRPr="00E4598C">
        <w:t>).</w:t>
      </w:r>
    </w:p>
    <w:p w14:paraId="7E2B0E89" w14:textId="77777777" w:rsidR="006623C5" w:rsidRPr="00E4598C" w:rsidRDefault="006623C5" w:rsidP="006623C5">
      <w:pPr>
        <w:pStyle w:val="FSCh5Section"/>
      </w:pPr>
      <w:r w:rsidRPr="00E4598C">
        <w:t>2.6.2—14</w:t>
      </w:r>
      <w:r w:rsidRPr="00E4598C">
        <w:tab/>
      </w:r>
      <w:r w:rsidRPr="00E4598C">
        <w:rPr>
          <w:bCs w:val="0"/>
          <w:szCs w:val="22"/>
        </w:rPr>
        <w:t>Recommended dietary intake information prohibited</w:t>
      </w:r>
    </w:p>
    <w:p w14:paraId="54D9A9E2" w14:textId="77777777" w:rsidR="006623C5" w:rsidRPr="00BE716A" w:rsidRDefault="006623C5" w:rsidP="006623C5">
      <w:pPr>
        <w:pStyle w:val="FSCtMain"/>
        <w:rPr>
          <w:szCs w:val="20"/>
          <w:lang w:bidi="en-US"/>
        </w:rPr>
      </w:pPr>
      <w:r w:rsidRPr="00E4598C">
        <w:rPr>
          <w:lang w:bidi="en-US"/>
        </w:rPr>
        <w:t xml:space="preserve"> </w:t>
      </w:r>
      <w:r w:rsidRPr="00E4598C">
        <w:rPr>
          <w:lang w:bidi="en-US"/>
        </w:rPr>
        <w:tab/>
        <w:t>(1)</w:t>
      </w:r>
      <w:r w:rsidRPr="00E4598C">
        <w:rPr>
          <w:lang w:bidi="en-US"/>
        </w:rPr>
        <w:tab/>
      </w:r>
      <w:r w:rsidRPr="00E4598C">
        <w:rPr>
          <w:lang w:bidi="en-US"/>
        </w:rPr>
        <w:tab/>
      </w:r>
      <w:r w:rsidRPr="00E4598C">
        <w:rPr>
          <w:szCs w:val="20"/>
        </w:rPr>
        <w:t xml:space="preserve">An *RDI </w:t>
      </w:r>
      <w:r w:rsidRPr="00E4598C">
        <w:rPr>
          <w:lang w:bidi="en-US"/>
        </w:rPr>
        <w:t xml:space="preserve">must not be stated or declared in relation to </w:t>
      </w:r>
      <w:r w:rsidRPr="00E4598C">
        <w:t xml:space="preserve">an electrolyte drink or </w:t>
      </w:r>
      <w:r w:rsidRPr="00BE716A">
        <w:t>electrolyte drink base</w:t>
      </w:r>
      <w:r>
        <w:t>.</w:t>
      </w:r>
    </w:p>
    <w:p w14:paraId="3D5736B7" w14:textId="77777777" w:rsidR="006623C5" w:rsidRPr="00BE716A" w:rsidRDefault="006623C5" w:rsidP="006623C5">
      <w:pPr>
        <w:pStyle w:val="FSCtMain"/>
        <w:rPr>
          <w:lang w:bidi="en-US"/>
        </w:rPr>
      </w:pPr>
      <w:r>
        <w:rPr>
          <w:lang w:bidi="en-US"/>
        </w:rPr>
        <w:tab/>
      </w:r>
      <w:r w:rsidRPr="00BE716A">
        <w:rPr>
          <w:lang w:bidi="en-US"/>
        </w:rPr>
        <w:t>(2)</w:t>
      </w:r>
      <w:r w:rsidRPr="00BE716A">
        <w:rPr>
          <w:lang w:bidi="en-US"/>
        </w:rPr>
        <w:tab/>
      </w:r>
      <w:r w:rsidRPr="00BE716A">
        <w:t>Section 1.2.8—9 does not apply to an electrolyte drink or electrolyte drink base</w:t>
      </w:r>
      <w:r w:rsidRPr="00BE716A">
        <w:rPr>
          <w:lang w:bidi="en-US"/>
        </w:rPr>
        <w:t>.</w:t>
      </w:r>
    </w:p>
    <w:p w14:paraId="55DAEEBC" w14:textId="1BBA944F" w:rsidR="006623C5" w:rsidRPr="00326C66" w:rsidRDefault="006623C5" w:rsidP="006623C5">
      <w:pPr>
        <w:pStyle w:val="FSCnMain"/>
      </w:pPr>
      <w:r w:rsidRPr="00BE716A">
        <w:tab/>
      </w:r>
      <w:r w:rsidRPr="00BE716A">
        <w:rPr>
          <w:b/>
          <w:i/>
        </w:rPr>
        <w:t>Note:</w:t>
      </w:r>
      <w:r w:rsidRPr="00BE716A">
        <w:t xml:space="preserve"> </w:t>
      </w:r>
      <w:r w:rsidRPr="00BE716A">
        <w:tab/>
        <w:t>Section 1.2.8—9 relates to minerals with a</w:t>
      </w:r>
      <w:r>
        <w:t>n</w:t>
      </w:r>
      <w:r w:rsidRPr="00BE716A">
        <w:t xml:space="preserve"> RDI (among other things). Some of the </w:t>
      </w:r>
      <w:r w:rsidRPr="00E4598C">
        <w:t xml:space="preserve">substances listed as ‘prescribed electrolytes’ in section </w:t>
      </w:r>
      <w:r w:rsidRPr="00BE716A">
        <w:t xml:space="preserve">2.6.2—10 are also minerals with an RDI for the purposes of </w:t>
      </w:r>
      <w:r w:rsidR="00B12983">
        <w:t>s</w:t>
      </w:r>
      <w:r w:rsidR="00B12983" w:rsidRPr="00B12983">
        <w:t xml:space="preserve">ection 1.2.8—9 </w:t>
      </w:r>
      <w:r>
        <w:t xml:space="preserve">e.g. calcium and magnesium </w:t>
      </w:r>
      <w:r w:rsidRPr="00BE716A">
        <w:t xml:space="preserve">(see </w:t>
      </w:r>
      <w:r w:rsidR="00B12983">
        <w:t xml:space="preserve">also </w:t>
      </w:r>
      <w:r w:rsidRPr="00BE716A">
        <w:t>the table to section S1—3).</w:t>
      </w:r>
    </w:p>
    <w:p w14:paraId="4B057D7C" w14:textId="77777777" w:rsidR="006623C5" w:rsidRPr="00E4598C" w:rsidRDefault="006623C5" w:rsidP="006623C5">
      <w:pPr>
        <w:pStyle w:val="FSCh5Section"/>
      </w:pPr>
      <w:r>
        <w:t>2</w:t>
      </w:r>
      <w:r w:rsidRPr="0029526B">
        <w:t>.</w:t>
      </w:r>
      <w:r w:rsidRPr="00E4598C">
        <w:t>6.2—15</w:t>
      </w:r>
      <w:r w:rsidRPr="00E4598C">
        <w:tab/>
        <w:t>Nutrition content claims about electrolyte drinks and electrolyte drink bases</w:t>
      </w:r>
    </w:p>
    <w:p w14:paraId="2CABDA0F" w14:textId="77777777" w:rsidR="006623C5" w:rsidRPr="00E4598C" w:rsidRDefault="006623C5" w:rsidP="006623C5">
      <w:pPr>
        <w:pStyle w:val="FSCtMain"/>
        <w:tabs>
          <w:tab w:val="clear" w:pos="1134"/>
          <w:tab w:val="left" w:pos="851"/>
        </w:tabs>
        <w:ind w:hanging="850"/>
      </w:pPr>
      <w:r>
        <w:t>(1)</w:t>
      </w:r>
      <w:r>
        <w:tab/>
        <w:t xml:space="preserve">A </w:t>
      </w:r>
      <w:r w:rsidRPr="00E4598C">
        <w:t>nutrition content claim must not be made about an electrolyte drink or electrolyte drink base unless:</w:t>
      </w:r>
    </w:p>
    <w:p w14:paraId="57D94D63" w14:textId="77777777" w:rsidR="006623C5" w:rsidRPr="00E4598C" w:rsidRDefault="006623C5" w:rsidP="006623C5">
      <w:pPr>
        <w:pStyle w:val="FSCtPara"/>
      </w:pPr>
      <w:r w:rsidRPr="00E4598C">
        <w:tab/>
        <w:t>(a)</w:t>
      </w:r>
      <w:r w:rsidRPr="00E4598C">
        <w:tab/>
        <w:t>subject to paragraph (2)(b), the claim is made in accordance with Division 4 of Standard 1.2.7; and</w:t>
      </w:r>
    </w:p>
    <w:p w14:paraId="467AA3EF" w14:textId="77777777" w:rsidR="006623C5" w:rsidRPr="00E4598C" w:rsidRDefault="006623C5" w:rsidP="006623C5">
      <w:pPr>
        <w:pStyle w:val="FSCtPara"/>
      </w:pPr>
      <w:r w:rsidRPr="00E4598C">
        <w:tab/>
        <w:t>(b)</w:t>
      </w:r>
      <w:r w:rsidRPr="00E4598C">
        <w:tab/>
        <w:t>the claim is about any of the following:</w:t>
      </w:r>
    </w:p>
    <w:p w14:paraId="69EFE0E9" w14:textId="77777777" w:rsidR="006623C5" w:rsidRPr="00E4598C" w:rsidRDefault="006623C5" w:rsidP="006623C5">
      <w:pPr>
        <w:pStyle w:val="FSCtSubpara"/>
      </w:pPr>
      <w:r w:rsidRPr="00E4598C">
        <w:tab/>
        <w:t xml:space="preserve">(i) </w:t>
      </w:r>
      <w:r w:rsidRPr="00E4598C">
        <w:tab/>
        <w:t>sugar or sugars; or</w:t>
      </w:r>
    </w:p>
    <w:p w14:paraId="329449B9" w14:textId="77777777" w:rsidR="006623C5" w:rsidRPr="00E4598C" w:rsidRDefault="006623C5" w:rsidP="006623C5">
      <w:pPr>
        <w:pStyle w:val="FSCtSubpara"/>
      </w:pPr>
      <w:r w:rsidRPr="00E4598C">
        <w:tab/>
        <w:t>(ii)</w:t>
      </w:r>
      <w:r w:rsidRPr="00E4598C">
        <w:tab/>
        <w:t>carbohydrate; or</w:t>
      </w:r>
    </w:p>
    <w:p w14:paraId="7DDD1A71" w14:textId="77777777" w:rsidR="006623C5" w:rsidRPr="00E4598C" w:rsidRDefault="006623C5" w:rsidP="006623C5">
      <w:pPr>
        <w:pStyle w:val="FSCtSubpara"/>
      </w:pPr>
      <w:r w:rsidRPr="00E4598C">
        <w:tab/>
        <w:t xml:space="preserve">(iii)    </w:t>
      </w:r>
      <w:r w:rsidRPr="00E4598C">
        <w:tab/>
        <w:t>energy; or</w:t>
      </w:r>
    </w:p>
    <w:p w14:paraId="264C51E5" w14:textId="77777777" w:rsidR="006623C5" w:rsidRPr="00E4598C" w:rsidRDefault="006623C5" w:rsidP="006623C5">
      <w:pPr>
        <w:pStyle w:val="FSCtSubpara"/>
      </w:pPr>
      <w:r w:rsidRPr="00E4598C">
        <w:tab/>
        <w:t>(iv)</w:t>
      </w:r>
      <w:r w:rsidRPr="00E4598C">
        <w:tab/>
        <w:t>the presence of one or more prescribed electrolytes.</w:t>
      </w:r>
    </w:p>
    <w:p w14:paraId="58EE86F2" w14:textId="77777777" w:rsidR="006623C5" w:rsidRPr="00E4598C" w:rsidRDefault="006623C5" w:rsidP="006623C5">
      <w:pPr>
        <w:pStyle w:val="FSCtMain"/>
        <w:tabs>
          <w:tab w:val="clear" w:pos="1134"/>
          <w:tab w:val="left" w:pos="851"/>
        </w:tabs>
        <w:ind w:hanging="850"/>
      </w:pPr>
      <w:r>
        <w:t>(2)</w:t>
      </w:r>
      <w:r>
        <w:tab/>
        <w:t xml:space="preserve">If a </w:t>
      </w:r>
      <w:r w:rsidRPr="00E4598C">
        <w:t>nutrition content claim is made under subparagraph (1)(b)(iv):</w:t>
      </w:r>
    </w:p>
    <w:p w14:paraId="51BBDA10" w14:textId="77777777" w:rsidR="006623C5" w:rsidRPr="00E4598C" w:rsidRDefault="006623C5" w:rsidP="006623C5">
      <w:pPr>
        <w:pStyle w:val="FSCtPara"/>
        <w:tabs>
          <w:tab w:val="clear" w:pos="1701"/>
        </w:tabs>
        <w:ind w:hanging="567"/>
      </w:pPr>
      <w:r w:rsidRPr="00E4598C">
        <w:rPr>
          <w:rFonts w:eastAsia="Calibri"/>
        </w:rPr>
        <w:t>(a)</w:t>
      </w:r>
      <w:r w:rsidRPr="00E4598C">
        <w:rPr>
          <w:rFonts w:eastAsia="Calibri"/>
        </w:rPr>
        <w:tab/>
        <w:t xml:space="preserve">the claim </w:t>
      </w:r>
      <w:r w:rsidRPr="00E4598C">
        <w:t>must only state that the electrolyte drink or electrolyte drink base contains one or both of the following:</w:t>
      </w:r>
    </w:p>
    <w:p w14:paraId="2EA98416" w14:textId="77777777" w:rsidR="006623C5" w:rsidRPr="00E4598C" w:rsidRDefault="006623C5" w:rsidP="006623C5">
      <w:pPr>
        <w:pStyle w:val="FSCtPara"/>
        <w:tabs>
          <w:tab w:val="clear" w:pos="1701"/>
          <w:tab w:val="left" w:pos="2268"/>
        </w:tabs>
        <w:ind w:left="2835" w:hanging="2835"/>
      </w:pPr>
      <w:r w:rsidRPr="00E4598C">
        <w:tab/>
        <w:t xml:space="preserve">(i) </w:t>
      </w:r>
      <w:r w:rsidRPr="00E4598C">
        <w:tab/>
        <w:t xml:space="preserve">electrolytes;  </w:t>
      </w:r>
    </w:p>
    <w:p w14:paraId="383D0587" w14:textId="77777777" w:rsidR="006623C5" w:rsidRPr="00E4598C" w:rsidRDefault="006623C5" w:rsidP="006623C5">
      <w:pPr>
        <w:pStyle w:val="FSCnPara"/>
        <w:ind w:left="2268" w:hanging="2268"/>
      </w:pPr>
      <w:r w:rsidRPr="00E4598C">
        <w:tab/>
      </w:r>
      <w:r w:rsidRPr="00E4598C">
        <w:rPr>
          <w:b/>
          <w:i/>
        </w:rPr>
        <w:t>Example:</w:t>
      </w:r>
      <w:r w:rsidRPr="00E4598C">
        <w:t xml:space="preserve"> Contains electrolytes.</w:t>
      </w:r>
    </w:p>
    <w:p w14:paraId="1809D51A" w14:textId="77777777" w:rsidR="006623C5" w:rsidRPr="00E4598C" w:rsidRDefault="006623C5" w:rsidP="006623C5">
      <w:pPr>
        <w:pStyle w:val="FSCtPara"/>
        <w:tabs>
          <w:tab w:val="clear" w:pos="1701"/>
          <w:tab w:val="left" w:pos="2268"/>
        </w:tabs>
        <w:ind w:left="2835" w:hanging="2835"/>
      </w:pPr>
      <w:r w:rsidRPr="00E4598C">
        <w:tab/>
        <w:t>(ii)</w:t>
      </w:r>
      <w:r w:rsidRPr="00E4598C">
        <w:tab/>
        <w:t>a prescribed electrolyte that is present in the food, provided that the claim also states that the prescribed electrolyte is an electrolyte; and</w:t>
      </w:r>
    </w:p>
    <w:p w14:paraId="4C40FDBE" w14:textId="77777777" w:rsidR="006623C5" w:rsidRPr="00E4598C" w:rsidRDefault="006623C5" w:rsidP="006623C5">
      <w:pPr>
        <w:pStyle w:val="FSCnPara"/>
        <w:ind w:left="2268" w:hanging="2268"/>
      </w:pPr>
      <w:r w:rsidRPr="00E4598C">
        <w:tab/>
      </w:r>
      <w:r w:rsidRPr="00E4598C">
        <w:rPr>
          <w:b/>
          <w:i/>
        </w:rPr>
        <w:t>Example:</w:t>
      </w:r>
      <w:r w:rsidRPr="00E4598C">
        <w:t xml:space="preserve"> This food contains the electrolytes: calcium and sodium.</w:t>
      </w:r>
    </w:p>
    <w:p w14:paraId="74533DCF" w14:textId="77777777" w:rsidR="006623C5" w:rsidRDefault="006623C5" w:rsidP="006623C5">
      <w:pPr>
        <w:pStyle w:val="FSCtPara"/>
        <w:tabs>
          <w:tab w:val="clear" w:pos="1701"/>
          <w:tab w:val="left" w:pos="2268"/>
        </w:tabs>
        <w:ind w:hanging="567"/>
        <w:rPr>
          <w:rFonts w:eastAsia="Calibri"/>
        </w:rPr>
      </w:pPr>
      <w:r w:rsidRPr="00E4598C">
        <w:rPr>
          <w:rFonts w:eastAsia="Calibri"/>
        </w:rPr>
        <w:t>(b)</w:t>
      </w:r>
      <w:r w:rsidRPr="00E4598C">
        <w:rPr>
          <w:rFonts w:eastAsia="Calibri"/>
        </w:rPr>
        <w:tab/>
        <w:t xml:space="preserve">any conditions for nutrition content claims in Standard 1.2.7 that relate to a prescribed electrolyte </w:t>
      </w:r>
      <w:r>
        <w:rPr>
          <w:rFonts w:eastAsia="Calibri"/>
        </w:rPr>
        <w:t xml:space="preserve">present </w:t>
      </w:r>
      <w:r w:rsidRPr="00F43152">
        <w:t>in the food</w:t>
      </w:r>
      <w:r w:rsidRPr="001273EE">
        <w:rPr>
          <w:rFonts w:eastAsia="Calibri"/>
        </w:rPr>
        <w:t xml:space="preserve"> do not apply to the nut</w:t>
      </w:r>
      <w:r>
        <w:rPr>
          <w:rFonts w:eastAsia="Calibri"/>
        </w:rPr>
        <w:t>rition content claim.</w:t>
      </w:r>
    </w:p>
    <w:p w14:paraId="38771B98" w14:textId="77777777" w:rsidR="006623C5" w:rsidRDefault="006623C5" w:rsidP="006623C5">
      <w:pPr>
        <w:pStyle w:val="FSCh5Section"/>
      </w:pPr>
      <w:r w:rsidRPr="0029526B">
        <w:lastRenderedPageBreak/>
        <w:t>2.6.2—</w:t>
      </w:r>
      <w:r>
        <w:t>16</w:t>
      </w:r>
      <w:r>
        <w:tab/>
        <w:t>Health c</w:t>
      </w:r>
      <w:r w:rsidRPr="007B3E68">
        <w:t>laim</w:t>
      </w:r>
      <w:r>
        <w:t>s</w:t>
      </w:r>
      <w:r w:rsidRPr="007B3E68">
        <w:t xml:space="preserve"> </w:t>
      </w:r>
      <w:r>
        <w:t>about electrolyte drinks and electrolyte drink bases</w:t>
      </w:r>
    </w:p>
    <w:p w14:paraId="4C6A778D" w14:textId="77777777" w:rsidR="006623C5" w:rsidRPr="00BF58D3" w:rsidRDefault="006623C5" w:rsidP="006623C5">
      <w:pPr>
        <w:pStyle w:val="FSCtMain"/>
        <w:tabs>
          <w:tab w:val="clear" w:pos="1134"/>
          <w:tab w:val="left" w:pos="709"/>
        </w:tabs>
        <w:ind w:hanging="850"/>
        <w:rPr>
          <w:sz w:val="18"/>
          <w:szCs w:val="18"/>
        </w:rPr>
      </w:pPr>
      <w:r>
        <w:t>(1)</w:t>
      </w:r>
      <w:r>
        <w:tab/>
        <w:t>Standard 1.2.7 does not apply to a *health claim made about an electrolyte drink or electrolyte drink base.</w:t>
      </w:r>
      <w:r w:rsidRPr="00BF58D3">
        <w:rPr>
          <w:sz w:val="18"/>
          <w:szCs w:val="18"/>
        </w:rPr>
        <w:tab/>
      </w:r>
    </w:p>
    <w:p w14:paraId="2B793431" w14:textId="77777777" w:rsidR="006623C5" w:rsidRDefault="006623C5" w:rsidP="006623C5">
      <w:pPr>
        <w:pStyle w:val="FSCtMain"/>
        <w:tabs>
          <w:tab w:val="clear" w:pos="1134"/>
          <w:tab w:val="left" w:pos="851"/>
        </w:tabs>
        <w:ind w:hanging="850"/>
      </w:pPr>
      <w:r w:rsidRPr="00BF58D3">
        <w:t>(2)</w:t>
      </w:r>
      <w:r>
        <w:rPr>
          <w:b/>
          <w:i/>
        </w:rPr>
        <w:tab/>
      </w:r>
      <w:r>
        <w:tab/>
        <w:t>A *health claim must not be made about an electrolyte drink or electrolyte drink base unless:</w:t>
      </w:r>
    </w:p>
    <w:p w14:paraId="63D3F8B7" w14:textId="77777777" w:rsidR="006623C5" w:rsidRDefault="006623C5" w:rsidP="006623C5">
      <w:pPr>
        <w:pStyle w:val="FSCtPara"/>
      </w:pPr>
      <w:r>
        <w:tab/>
        <w:t>(a)</w:t>
      </w:r>
      <w:r>
        <w:tab/>
        <w:t xml:space="preserve">the food </w:t>
      </w:r>
      <w:r w:rsidRPr="000C4833">
        <w:t>has an average osmolality of 2</w:t>
      </w:r>
      <w:r>
        <w:t>0</w:t>
      </w:r>
      <w:r w:rsidRPr="000C4833">
        <w:t>0–340 mOsmol/</w:t>
      </w:r>
      <w:r>
        <w:t>kg; and</w:t>
      </w:r>
    </w:p>
    <w:p w14:paraId="55F9782B" w14:textId="77777777" w:rsidR="006623C5" w:rsidRDefault="006623C5" w:rsidP="006623C5">
      <w:pPr>
        <w:pStyle w:val="FSCtPara"/>
      </w:pPr>
      <w:r>
        <w:tab/>
        <w:t>(b)</w:t>
      </w:r>
      <w:r>
        <w:tab/>
        <w:t>the claim is about any of the following:</w:t>
      </w:r>
    </w:p>
    <w:p w14:paraId="5E83F4D8" w14:textId="77777777" w:rsidR="006623C5" w:rsidRDefault="006623C5" w:rsidP="006623C5">
      <w:pPr>
        <w:pStyle w:val="FSCtSubpara"/>
      </w:pPr>
      <w:r>
        <w:tab/>
        <w:t>(i)</w:t>
      </w:r>
      <w:r>
        <w:tab/>
      </w:r>
      <w:r w:rsidRPr="00D90E8D">
        <w:t>rapid rehydrat</w:t>
      </w:r>
      <w:r>
        <w:t>ion</w:t>
      </w:r>
      <w:r w:rsidRPr="00D90E8D">
        <w:t xml:space="preserve"> in association with </w:t>
      </w:r>
      <w:r>
        <w:t>words to the effect of ‘</w:t>
      </w:r>
      <w:r w:rsidRPr="00D90E8D">
        <w:t>after at least 60 minutes or more of strenuous physical activity</w:t>
      </w:r>
      <w:r>
        <w:t>’;</w:t>
      </w:r>
    </w:p>
    <w:p w14:paraId="0754D98A" w14:textId="77777777" w:rsidR="006623C5" w:rsidRDefault="006623C5" w:rsidP="006623C5">
      <w:pPr>
        <w:pStyle w:val="FSCtSubpara"/>
      </w:pPr>
      <w:r>
        <w:tab/>
        <w:t>(ii)</w:t>
      </w:r>
      <w:r>
        <w:tab/>
        <w:t>rapid</w:t>
      </w:r>
      <w:r w:rsidRPr="00D90E8D">
        <w:t xml:space="preserve"> hydrat</w:t>
      </w:r>
      <w:r>
        <w:t>ion</w:t>
      </w:r>
      <w:r w:rsidRPr="00D90E8D">
        <w:t xml:space="preserve"> in association with</w:t>
      </w:r>
      <w:r>
        <w:t xml:space="preserve"> words to the effect of ‘</w:t>
      </w:r>
      <w:r w:rsidRPr="00D90E8D">
        <w:t>during at least 60 minutes or more of strenuous physical activity</w:t>
      </w:r>
      <w:r>
        <w:t>’;</w:t>
      </w:r>
    </w:p>
    <w:p w14:paraId="5D2A3928" w14:textId="77777777" w:rsidR="006623C5" w:rsidRDefault="006623C5" w:rsidP="006623C5">
      <w:pPr>
        <w:pStyle w:val="FSCtSubpara"/>
      </w:pPr>
      <w:r>
        <w:tab/>
        <w:t>(iii)</w:t>
      </w:r>
      <w:r>
        <w:tab/>
      </w:r>
      <w:r w:rsidRPr="00D90E8D">
        <w:t>contribut</w:t>
      </w:r>
      <w:r>
        <w:t>ion</w:t>
      </w:r>
      <w:r w:rsidRPr="00D90E8D">
        <w:t xml:space="preserve"> to the maintenance of performance </w:t>
      </w:r>
      <w:r>
        <w:t xml:space="preserve">by </w:t>
      </w:r>
      <w:r w:rsidRPr="00D90E8D">
        <w:t xml:space="preserve">rapid hydration in association with </w:t>
      </w:r>
      <w:r>
        <w:t>words to the effect of ‘</w:t>
      </w:r>
      <w:r w:rsidRPr="00D90E8D">
        <w:t>during at least 60 minutes or more of strenuous physical activity</w:t>
      </w:r>
      <w:r>
        <w:t>’.</w:t>
      </w:r>
    </w:p>
    <w:p w14:paraId="37DF8BF3" w14:textId="77777777" w:rsidR="006623C5" w:rsidRDefault="006623C5" w:rsidP="006623C5">
      <w:pPr>
        <w:pStyle w:val="FSCtMain"/>
        <w:tabs>
          <w:tab w:val="clear" w:pos="1134"/>
          <w:tab w:val="left" w:pos="709"/>
        </w:tabs>
        <w:ind w:hanging="850"/>
      </w:pPr>
      <w:r>
        <w:t xml:space="preserve"> (3)</w:t>
      </w:r>
      <w:r>
        <w:tab/>
        <w:t xml:space="preserve">In a *health claim made under subsection (2), the amount of time must be expressed only as a quantifiable </w:t>
      </w:r>
      <w:r w:rsidRPr="00056539">
        <w:t>amount</w:t>
      </w:r>
      <w:r>
        <w:t xml:space="preserve"> of time.</w:t>
      </w:r>
    </w:p>
    <w:p w14:paraId="1608A9A5" w14:textId="77777777" w:rsidR="006623C5" w:rsidRDefault="006623C5" w:rsidP="006623C5">
      <w:pPr>
        <w:pStyle w:val="FSCnMain"/>
        <w:ind w:left="1701"/>
      </w:pPr>
      <w:r>
        <w:tab/>
      </w:r>
      <w:r>
        <w:tab/>
      </w:r>
      <w:r w:rsidRPr="00917FEF">
        <w:rPr>
          <w:b/>
          <w:i/>
        </w:rPr>
        <w:t>Examples:</w:t>
      </w:r>
      <w:r>
        <w:t xml:space="preserve"> ’60 minutes’ or ’sixty minutes’; ‘1 hour’ or ‘one hour’.</w:t>
      </w:r>
    </w:p>
    <w:p w14:paraId="6560D38A" w14:textId="402C6214" w:rsidR="006623C5" w:rsidRDefault="006623C5" w:rsidP="006623C5">
      <w:pPr>
        <w:pStyle w:val="FSCtMain"/>
        <w:tabs>
          <w:tab w:val="clear" w:pos="1134"/>
          <w:tab w:val="left" w:pos="851"/>
        </w:tabs>
      </w:pPr>
      <w:r>
        <w:tab/>
        <w:t>(4)</w:t>
      </w:r>
      <w:r>
        <w:tab/>
      </w:r>
      <w:r>
        <w:tab/>
        <w:t>Subject to subsection (3), n</w:t>
      </w:r>
      <w:r w:rsidRPr="00E65557">
        <w:t xml:space="preserve">othing in this </w:t>
      </w:r>
      <w:r>
        <w:t xml:space="preserve">section </w:t>
      </w:r>
      <w:r w:rsidRPr="00E65557">
        <w:t xml:space="preserve">is to be taken to prescribe the words that must be used when making a </w:t>
      </w:r>
      <w:r>
        <w:t>*health claim under this section</w:t>
      </w:r>
      <w:r w:rsidRPr="00E65557">
        <w:t>.</w:t>
      </w:r>
    </w:p>
    <w:p w14:paraId="4EA0429A" w14:textId="77777777" w:rsidR="006623C5" w:rsidRDefault="006623C5" w:rsidP="006623C5">
      <w:pPr>
        <w:pStyle w:val="FSCnMain"/>
        <w:ind w:left="1701"/>
      </w:pPr>
      <w:r>
        <w:tab/>
      </w:r>
      <w:r w:rsidRPr="00BC67F6">
        <w:rPr>
          <w:b/>
          <w:i/>
        </w:rPr>
        <w:tab/>
        <w:t>Example:</w:t>
      </w:r>
      <w:r>
        <w:t xml:space="preserve"> </w:t>
      </w:r>
      <w:r w:rsidRPr="00E65557">
        <w:t>‘exercise’</w:t>
      </w:r>
      <w:r>
        <w:t xml:space="preserve"> instead of ‘physical activity’.</w:t>
      </w:r>
    </w:p>
    <w:p w14:paraId="7527F63E" w14:textId="77777777" w:rsidR="006623C5" w:rsidRDefault="006623C5" w:rsidP="006623C5">
      <w:pPr>
        <w:pStyle w:val="FSCh5Section"/>
      </w:pPr>
      <w:r w:rsidRPr="0029526B">
        <w:t>2.6.2—</w:t>
      </w:r>
      <w:r>
        <w:t>17</w:t>
      </w:r>
      <w:r>
        <w:tab/>
        <w:t xml:space="preserve">Claims </w:t>
      </w:r>
      <w:r w:rsidRPr="005D4BF7">
        <w:t>in relation to the tonicity of electrolyte drinks</w:t>
      </w:r>
    </w:p>
    <w:p w14:paraId="191EA2BC" w14:textId="77777777" w:rsidR="006623C5" w:rsidRPr="00CB6CD8" w:rsidRDefault="006623C5" w:rsidP="006623C5">
      <w:pPr>
        <w:pStyle w:val="FSCtMain"/>
        <w:ind w:hanging="850"/>
        <w:rPr>
          <w:lang w:bidi="en-US"/>
        </w:rPr>
      </w:pPr>
      <w:r w:rsidRPr="00CB6CD8">
        <w:rPr>
          <w:lang w:bidi="en-US"/>
        </w:rPr>
        <w:t>(1)</w:t>
      </w:r>
      <w:r w:rsidRPr="00CB6CD8">
        <w:rPr>
          <w:lang w:bidi="en-US"/>
        </w:rPr>
        <w:tab/>
      </w:r>
      <w:r>
        <w:rPr>
          <w:lang w:bidi="en-US"/>
        </w:rPr>
        <w:tab/>
      </w:r>
      <w:r w:rsidRPr="00CB6CD8">
        <w:rPr>
          <w:lang w:bidi="en-US"/>
        </w:rPr>
        <w:t>A claim that an electrolyte drink is isotonic may only be made if the electrolyte drink has an average osmolality of 250–340 mOsmol/</w:t>
      </w:r>
      <w:r>
        <w:rPr>
          <w:lang w:bidi="en-US"/>
        </w:rPr>
        <w:t>kg</w:t>
      </w:r>
      <w:r w:rsidRPr="00CB6CD8">
        <w:rPr>
          <w:lang w:bidi="en-US"/>
        </w:rPr>
        <w:t>.</w:t>
      </w:r>
    </w:p>
    <w:p w14:paraId="4755C3AA" w14:textId="77777777" w:rsidR="006623C5" w:rsidRDefault="006623C5" w:rsidP="006623C5">
      <w:pPr>
        <w:pStyle w:val="FSCtMain"/>
        <w:tabs>
          <w:tab w:val="clear" w:pos="1134"/>
          <w:tab w:val="left" w:pos="851"/>
        </w:tabs>
        <w:ind w:hanging="850"/>
        <w:rPr>
          <w:lang w:bidi="en-US"/>
        </w:rPr>
      </w:pPr>
      <w:r>
        <w:rPr>
          <w:lang w:bidi="en-US"/>
        </w:rPr>
        <w:t>(2)</w:t>
      </w:r>
      <w:r>
        <w:rPr>
          <w:lang w:bidi="en-US"/>
        </w:rPr>
        <w:tab/>
        <w:t xml:space="preserve">For the labelling provisions, for </w:t>
      </w:r>
      <w:r w:rsidRPr="00CB6CD8">
        <w:rPr>
          <w:lang w:bidi="en-US"/>
        </w:rPr>
        <w:t xml:space="preserve">an electrolyte drink </w:t>
      </w:r>
      <w:r>
        <w:rPr>
          <w:lang w:bidi="en-US"/>
        </w:rPr>
        <w:t>about which a</w:t>
      </w:r>
      <w:r w:rsidRPr="00CB6CD8">
        <w:rPr>
          <w:lang w:bidi="en-US"/>
        </w:rPr>
        <w:t xml:space="preserve"> claim is made </w:t>
      </w:r>
      <w:r>
        <w:rPr>
          <w:lang w:bidi="en-US"/>
        </w:rPr>
        <w:t>that the drink is</w:t>
      </w:r>
      <w:r w:rsidRPr="00CB6CD8">
        <w:rPr>
          <w:lang w:bidi="en-US"/>
        </w:rPr>
        <w:t xml:space="preserve"> isotonic, hypertonic or hypotonic, </w:t>
      </w:r>
      <w:r>
        <w:rPr>
          <w:szCs w:val="20"/>
        </w:rPr>
        <w:t>the following information is required</w:t>
      </w:r>
      <w:r w:rsidRPr="0029526B">
        <w:t>—</w:t>
      </w:r>
      <w:r>
        <w:rPr>
          <w:lang w:bidi="en-US"/>
        </w:rPr>
        <w:t>a declaration of the</w:t>
      </w:r>
      <w:r w:rsidRPr="00CB6CD8">
        <w:rPr>
          <w:lang w:bidi="en-US"/>
        </w:rPr>
        <w:t xml:space="preserve"> osmolality of the electrolyte drink</w:t>
      </w:r>
      <w:r>
        <w:rPr>
          <w:lang w:bidi="en-US"/>
        </w:rPr>
        <w:t>,</w:t>
      </w:r>
      <w:r w:rsidRPr="00CB6CD8">
        <w:rPr>
          <w:lang w:bidi="en-US"/>
        </w:rPr>
        <w:t xml:space="preserve"> </w:t>
      </w:r>
      <w:r>
        <w:t>expressed in mOsm/</w:t>
      </w:r>
      <w:r>
        <w:rPr>
          <w:lang w:bidi="en-US"/>
        </w:rPr>
        <w:t>L.</w:t>
      </w:r>
    </w:p>
    <w:p w14:paraId="40402188" w14:textId="77777777" w:rsidR="006623C5" w:rsidRPr="00797A71" w:rsidRDefault="006623C5" w:rsidP="006623C5">
      <w:pPr>
        <w:pStyle w:val="FSCnMain"/>
        <w:rPr>
          <w:szCs w:val="16"/>
        </w:rPr>
      </w:pPr>
      <w:r w:rsidRPr="00797A71">
        <w:rPr>
          <w:szCs w:val="16"/>
        </w:rPr>
        <w:tab/>
      </w:r>
      <w:r w:rsidRPr="00797A71">
        <w:rPr>
          <w:b/>
          <w:i/>
          <w:szCs w:val="16"/>
        </w:rPr>
        <w:t>Note:</w:t>
      </w:r>
      <w:r w:rsidRPr="00797A71">
        <w:rPr>
          <w:szCs w:val="16"/>
        </w:rPr>
        <w:tab/>
        <w:t xml:space="preserve"> The labelling provisions are set out in Standard 1.2.1.</w:t>
      </w:r>
    </w:p>
    <w:p w14:paraId="775330E6" w14:textId="77777777" w:rsidR="006623C5" w:rsidRPr="00E4598C" w:rsidRDefault="006623C5" w:rsidP="006623C5">
      <w:pPr>
        <w:pStyle w:val="FSCh5Section"/>
      </w:pPr>
      <w:r w:rsidRPr="00E4598C">
        <w:t>2.6.2—18</w:t>
      </w:r>
      <w:r w:rsidRPr="00E4598C">
        <w:tab/>
        <w:t>Claims in relation to sodium in electrolyte drinks and electrolyte drink bases</w:t>
      </w:r>
    </w:p>
    <w:p w14:paraId="4D87E73B" w14:textId="77777777" w:rsidR="006623C5" w:rsidRPr="00E4598C" w:rsidRDefault="006623C5" w:rsidP="006623C5">
      <w:pPr>
        <w:pStyle w:val="FSCtMain"/>
      </w:pPr>
      <w:r w:rsidRPr="00E4598C">
        <w:tab/>
      </w:r>
      <w:r w:rsidRPr="00E4598C">
        <w:tab/>
        <w:t xml:space="preserve">Subsection 1.2.8—6(12) does not apply to a *claim requiring nutrition information that is </w:t>
      </w:r>
      <w:r w:rsidRPr="00E4598C">
        <w:rPr>
          <w:lang w:val="en-AU"/>
        </w:rPr>
        <w:t xml:space="preserve">made in relation to salt or sodium in </w:t>
      </w:r>
      <w:r w:rsidRPr="00E4598C">
        <w:t>an electrolyte drink or electrolyte drink base</w:t>
      </w:r>
      <w:r w:rsidRPr="00E4598C">
        <w:rPr>
          <w:lang w:val="en-AU"/>
        </w:rPr>
        <w:t>.</w:t>
      </w:r>
    </w:p>
    <w:p w14:paraId="71BEB00D" w14:textId="77777777" w:rsidR="006623C5" w:rsidRPr="00E4598C" w:rsidRDefault="006623C5" w:rsidP="006623C5">
      <w:pPr>
        <w:pStyle w:val="FSCnMain"/>
        <w:ind w:hanging="2835"/>
      </w:pPr>
      <w:r w:rsidRPr="00E4598C">
        <w:tab/>
      </w:r>
      <w:r w:rsidRPr="00E4598C">
        <w:rPr>
          <w:b/>
          <w:i/>
        </w:rPr>
        <w:t>Note:</w:t>
      </w:r>
      <w:r w:rsidRPr="00E4598C">
        <w:t xml:space="preserve"> </w:t>
      </w:r>
      <w:r w:rsidRPr="00E4598C">
        <w:tab/>
        <w:t xml:space="preserve">Subsection 1.2.8—6(12) </w:t>
      </w:r>
      <w:r w:rsidRPr="00E4598C">
        <w:rPr>
          <w:lang w:val="en-AU"/>
        </w:rPr>
        <w:t>provides that, if a claim requiring nutrition information is made in relation to salt or sodium in a food product, the nutrition information panel for that product must include a declaration of the average quantity of potassium in accordance with section S12—3</w:t>
      </w:r>
      <w:r w:rsidRPr="00E4598C">
        <w:t>.</w:t>
      </w:r>
    </w:p>
    <w:p w14:paraId="75CF1E91" w14:textId="77777777" w:rsidR="00547D7D" w:rsidRDefault="00547D7D" w:rsidP="00CF3012">
      <w:pPr>
        <w:pStyle w:val="FSCtMain"/>
        <w:ind w:left="0" w:firstLine="0"/>
      </w:pPr>
    </w:p>
    <w:p w14:paraId="373AC836" w14:textId="77777777" w:rsidR="00547D7D" w:rsidRDefault="00547D7D" w:rsidP="00CF3012">
      <w:pPr>
        <w:pStyle w:val="FSCtMain"/>
        <w:ind w:left="0" w:firstLine="0"/>
      </w:pPr>
    </w:p>
    <w:p w14:paraId="15550188" w14:textId="77777777" w:rsidR="00547D7D" w:rsidRDefault="00547D7D" w:rsidP="00CF3012">
      <w:pPr>
        <w:pStyle w:val="FSCtMain"/>
        <w:ind w:left="0" w:firstLine="0"/>
      </w:pPr>
    </w:p>
    <w:p w14:paraId="6355EF0A" w14:textId="77777777" w:rsidR="00547D7D" w:rsidRDefault="00547D7D" w:rsidP="00CF3012">
      <w:pPr>
        <w:pStyle w:val="FSCtMain"/>
        <w:ind w:left="0" w:firstLine="0"/>
      </w:pPr>
    </w:p>
    <w:p w14:paraId="015B8CFB" w14:textId="228E3933" w:rsidR="00CF3012" w:rsidRDefault="00CF3012" w:rsidP="00CF3012">
      <w:pPr>
        <w:pStyle w:val="FSCtMain"/>
        <w:ind w:left="0" w:firstLine="0"/>
        <w:rPr>
          <w:rFonts w:eastAsia="Calibri" w:cs="Times New Roman"/>
          <w:iCs w:val="0"/>
          <w:sz w:val="22"/>
          <w:lang w:eastAsia="en-US"/>
        </w:rPr>
      </w:pPr>
    </w:p>
    <w:p w14:paraId="55AFEAB8" w14:textId="1E2D3518" w:rsidR="001A1C59" w:rsidRPr="001A1C59" w:rsidRDefault="001A1C59" w:rsidP="001A1C59">
      <w:pPr>
        <w:rPr>
          <w:lang w:bidi="ar-SA"/>
        </w:rPr>
      </w:pPr>
    </w:p>
    <w:p w14:paraId="70AB9257" w14:textId="77777777" w:rsidR="00C129FC" w:rsidRDefault="00C129FC" w:rsidP="00C129FC">
      <w:pPr>
        <w:rPr>
          <w:rFonts w:cs="Arial"/>
          <w:sz w:val="28"/>
          <w:szCs w:val="22"/>
          <w:lang w:bidi="ar-SA"/>
        </w:rPr>
      </w:pPr>
      <w:r>
        <w:br w:type="page"/>
      </w:r>
    </w:p>
    <w:p w14:paraId="4B0405BC" w14:textId="3503C9F3" w:rsidR="00232497" w:rsidRPr="002136BC" w:rsidRDefault="00E03395" w:rsidP="00994EBF">
      <w:pPr>
        <w:pStyle w:val="Heading2"/>
        <w:ind w:left="0" w:firstLine="0"/>
        <w:jc w:val="both"/>
      </w:pPr>
      <w:bookmarkStart w:id="334" w:name="_Toc60825032"/>
      <w:bookmarkStart w:id="335" w:name="_Toc61442333"/>
      <w:bookmarkStart w:id="336" w:name="_Toc61449877"/>
      <w:bookmarkStart w:id="337" w:name="_Toc63342521"/>
      <w:bookmarkStart w:id="338" w:name="_Toc71711658"/>
      <w:bookmarkStart w:id="339" w:name="_Toc72673592"/>
      <w:r w:rsidRPr="004E0CFB">
        <w:lastRenderedPageBreak/>
        <w:t xml:space="preserve">Attachment </w:t>
      </w:r>
      <w:r>
        <w:t>B</w:t>
      </w:r>
      <w:r w:rsidRPr="004E0CFB">
        <w:t xml:space="preserve"> – Draft Explanatory Statement</w:t>
      </w:r>
      <w:bookmarkEnd w:id="334"/>
      <w:bookmarkEnd w:id="335"/>
      <w:bookmarkEnd w:id="336"/>
      <w:bookmarkEnd w:id="337"/>
      <w:r w:rsidRPr="004E0CFB">
        <w:t xml:space="preserve"> </w:t>
      </w:r>
      <w:r w:rsidR="00951A67">
        <w:t>(example only)</w:t>
      </w:r>
      <w:bookmarkEnd w:id="338"/>
      <w:bookmarkEnd w:id="339"/>
    </w:p>
    <w:p w14:paraId="69C9523D" w14:textId="77777777" w:rsidR="00017CEA" w:rsidRPr="002136BC" w:rsidRDefault="00017CEA" w:rsidP="00017CEA">
      <w:pPr>
        <w:rPr>
          <w:b/>
          <w:lang w:val="en-AU" w:eastAsia="en-GB"/>
        </w:rPr>
      </w:pPr>
      <w:r w:rsidRPr="002136BC">
        <w:rPr>
          <w:b/>
          <w:lang w:val="en-AU" w:eastAsia="en-GB"/>
        </w:rPr>
        <w:t>Authority</w:t>
      </w:r>
    </w:p>
    <w:p w14:paraId="6B64D27D" w14:textId="77777777" w:rsidR="00017CEA" w:rsidRPr="002136BC" w:rsidRDefault="00017CEA" w:rsidP="00017CEA">
      <w:pPr>
        <w:rPr>
          <w:lang w:val="en-AU" w:eastAsia="en-GB"/>
        </w:rPr>
      </w:pPr>
    </w:p>
    <w:p w14:paraId="15EBE792" w14:textId="77777777" w:rsidR="00017CEA" w:rsidRPr="002136BC" w:rsidRDefault="00017CEA" w:rsidP="00017CEA">
      <w:pPr>
        <w:autoSpaceDE w:val="0"/>
        <w:autoSpaceDN w:val="0"/>
        <w:adjustRightInd w:val="0"/>
        <w:rPr>
          <w:rFonts w:eastAsia="Calibri" w:cs="Arial"/>
          <w:bCs/>
          <w:lang w:val="en-AU"/>
        </w:rPr>
      </w:pPr>
      <w:r w:rsidRPr="002136BC">
        <w:rPr>
          <w:rFonts w:eastAsia="Calibri" w:cs="Arial"/>
          <w:bCs/>
          <w:lang w:val="en-AU"/>
        </w:rPr>
        <w:t xml:space="preserve">Section 13 of the </w:t>
      </w:r>
      <w:r w:rsidRPr="002136BC">
        <w:rPr>
          <w:rFonts w:eastAsia="Calibri" w:cs="Arial"/>
          <w:bCs/>
          <w:i/>
          <w:lang w:val="en-AU"/>
        </w:rPr>
        <w:t>Food Standards Australia New Zealand Act 1991</w:t>
      </w:r>
      <w:r w:rsidRPr="002136BC">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2136BC">
        <w:rPr>
          <w:rFonts w:eastAsia="Calibri" w:cs="Arial"/>
          <w:bCs/>
          <w:i/>
          <w:lang w:val="en-AU"/>
        </w:rPr>
        <w:t>Australia New Zealand Food Standards Code</w:t>
      </w:r>
      <w:r w:rsidRPr="002136BC">
        <w:rPr>
          <w:rFonts w:eastAsia="Calibri" w:cs="Arial"/>
          <w:bCs/>
          <w:lang w:val="en-AU"/>
        </w:rPr>
        <w:t xml:space="preserve"> (the Code).</w:t>
      </w:r>
    </w:p>
    <w:p w14:paraId="161F7DB8" w14:textId="77777777" w:rsidR="00017CEA" w:rsidRPr="002136BC" w:rsidRDefault="00017CEA" w:rsidP="00017CEA">
      <w:pPr>
        <w:autoSpaceDE w:val="0"/>
        <w:autoSpaceDN w:val="0"/>
        <w:adjustRightInd w:val="0"/>
        <w:rPr>
          <w:rFonts w:eastAsia="Calibri" w:cs="Arial"/>
          <w:bCs/>
          <w:lang w:val="en-AU"/>
        </w:rPr>
      </w:pPr>
    </w:p>
    <w:p w14:paraId="5126BFBA" w14:textId="0008A6F6" w:rsidR="00017CEA" w:rsidRDefault="00017CEA" w:rsidP="00017CEA">
      <w:pPr>
        <w:autoSpaceDE w:val="0"/>
        <w:autoSpaceDN w:val="0"/>
        <w:adjustRightInd w:val="0"/>
        <w:rPr>
          <w:rFonts w:eastAsia="Calibri" w:cs="Arial"/>
          <w:bCs/>
          <w:lang w:val="en-AU"/>
        </w:rPr>
      </w:pPr>
      <w:r w:rsidRPr="002136BC">
        <w:rPr>
          <w:rFonts w:eastAsia="Calibri" w:cs="Arial"/>
          <w:bCs/>
          <w:lang w:val="en-AU"/>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66F9EE93" w14:textId="570F4C1F" w:rsidR="000F3437" w:rsidRDefault="000F3437" w:rsidP="00017CEA">
      <w:pPr>
        <w:autoSpaceDE w:val="0"/>
        <w:autoSpaceDN w:val="0"/>
        <w:adjustRightInd w:val="0"/>
        <w:rPr>
          <w:rFonts w:eastAsia="Calibri" w:cs="Arial"/>
          <w:bCs/>
          <w:lang w:val="en-AU"/>
        </w:rPr>
      </w:pPr>
    </w:p>
    <w:p w14:paraId="00E8151C" w14:textId="461B9FA7" w:rsidR="000F3437" w:rsidRDefault="00867E86" w:rsidP="00017CEA">
      <w:pPr>
        <w:autoSpaceDE w:val="0"/>
        <w:autoSpaceDN w:val="0"/>
        <w:adjustRightInd w:val="0"/>
        <w:rPr>
          <w:rFonts w:eastAsia="Calibri" w:cs="Arial"/>
          <w:szCs w:val="22"/>
          <w:lang w:val="en-AU" w:bidi="ar-SA"/>
        </w:rPr>
      </w:pPr>
      <w:r>
        <w:rPr>
          <w:rFonts w:eastAsia="Calibri" w:cs="Arial"/>
          <w:szCs w:val="22"/>
          <w:lang w:val="en-AU" w:bidi="ar-SA"/>
        </w:rPr>
        <w:t>The Authority</w:t>
      </w:r>
      <w:r w:rsidRPr="004E0CFB">
        <w:rPr>
          <w:rFonts w:eastAsia="Calibri" w:cs="Arial"/>
          <w:szCs w:val="22"/>
          <w:lang w:val="en-AU" w:bidi="ar-SA"/>
        </w:rPr>
        <w:t xml:space="preserve"> </w:t>
      </w:r>
      <w:r w:rsidR="000F3437">
        <w:rPr>
          <w:rFonts w:eastAsia="Calibri" w:cs="Arial"/>
          <w:szCs w:val="22"/>
          <w:lang w:val="en-AU" w:bidi="ar-SA"/>
        </w:rPr>
        <w:t xml:space="preserve">had </w:t>
      </w:r>
      <w:r w:rsidR="000F3437" w:rsidRPr="004E0CFB">
        <w:rPr>
          <w:rFonts w:eastAsia="Calibri" w:cs="Arial"/>
          <w:szCs w:val="22"/>
          <w:lang w:val="en-AU" w:bidi="ar-SA"/>
        </w:rPr>
        <w:t>prepared Proposal P1030 to permit formulated supplementary sports foods</w:t>
      </w:r>
      <w:r w:rsidR="00201259">
        <w:rPr>
          <w:rFonts w:eastAsia="Calibri" w:cs="Arial"/>
          <w:szCs w:val="22"/>
          <w:lang w:val="en-AU" w:bidi="ar-SA"/>
        </w:rPr>
        <w:t>,</w:t>
      </w:r>
      <w:r w:rsidR="000F3437" w:rsidRPr="004E0CFB">
        <w:rPr>
          <w:rFonts w:eastAsia="Calibri" w:cs="Arial"/>
          <w:szCs w:val="22"/>
          <w:lang w:val="en-AU" w:bidi="ar-SA"/>
        </w:rPr>
        <w:t xml:space="preserve"> electrolyte drinks</w:t>
      </w:r>
      <w:r w:rsidR="00201259">
        <w:rPr>
          <w:rFonts w:eastAsia="Calibri" w:cs="Arial"/>
          <w:szCs w:val="22"/>
          <w:lang w:val="en-AU" w:bidi="ar-SA"/>
        </w:rPr>
        <w:t xml:space="preserve"> </w:t>
      </w:r>
      <w:r w:rsidR="00201259" w:rsidRPr="004E0CFB">
        <w:rPr>
          <w:rFonts w:eastAsia="Calibri" w:cs="Arial"/>
          <w:szCs w:val="22"/>
          <w:lang w:val="en-AU" w:bidi="ar-SA"/>
        </w:rPr>
        <w:t xml:space="preserve">and </w:t>
      </w:r>
      <w:r w:rsidR="000F3437" w:rsidRPr="004E0CFB">
        <w:rPr>
          <w:rFonts w:eastAsia="Calibri" w:cs="Arial"/>
          <w:szCs w:val="22"/>
          <w:lang w:val="en-AU" w:bidi="ar-SA"/>
        </w:rPr>
        <w:t>electrolyte drink bases to carry health claims on their labels and in advertising</w:t>
      </w:r>
      <w:r w:rsidR="00C40054">
        <w:rPr>
          <w:rFonts w:eastAsia="Calibri" w:cs="Arial"/>
          <w:szCs w:val="22"/>
          <w:lang w:val="en-AU" w:bidi="ar-SA"/>
        </w:rPr>
        <w:t>;</w:t>
      </w:r>
      <w:r w:rsidR="000F3437" w:rsidRPr="004E0CFB">
        <w:rPr>
          <w:rFonts w:eastAsia="Calibri" w:cs="Arial"/>
          <w:szCs w:val="22"/>
          <w:lang w:val="en-AU" w:bidi="ar-SA"/>
        </w:rPr>
        <w:t xml:space="preserve"> and to transfer the regulation of electrolyte drinks and electrolyte drink bases from Part 2.6 to Part 2.9 of the Code. The Authority </w:t>
      </w:r>
      <w:r w:rsidR="000F3437">
        <w:rPr>
          <w:rFonts w:eastAsia="Calibri" w:cs="Arial"/>
          <w:szCs w:val="22"/>
          <w:lang w:val="en-AU" w:bidi="ar-SA"/>
        </w:rPr>
        <w:t xml:space="preserve">had </w:t>
      </w:r>
      <w:r w:rsidR="000F3437" w:rsidRPr="004E0CFB">
        <w:rPr>
          <w:rFonts w:eastAsia="Calibri" w:cs="Arial"/>
          <w:szCs w:val="22"/>
          <w:lang w:val="en-AU" w:bidi="ar-SA"/>
        </w:rPr>
        <w:t xml:space="preserve">considered the Proposal in accordance with Division 2 of Part 3 </w:t>
      </w:r>
      <w:r w:rsidR="00522539">
        <w:rPr>
          <w:rFonts w:eastAsia="Calibri" w:cs="Arial"/>
          <w:szCs w:val="22"/>
          <w:lang w:val="en-AU" w:bidi="ar-SA"/>
        </w:rPr>
        <w:t xml:space="preserve">of the FSANZ Act </w:t>
      </w:r>
      <w:r w:rsidR="000F3437" w:rsidRPr="004E0CFB">
        <w:rPr>
          <w:rFonts w:eastAsia="Calibri" w:cs="Arial"/>
          <w:szCs w:val="22"/>
          <w:lang w:val="en-AU" w:bidi="ar-SA"/>
        </w:rPr>
        <w:t xml:space="preserve">and </w:t>
      </w:r>
      <w:r w:rsidR="000F3437">
        <w:rPr>
          <w:rFonts w:eastAsia="Calibri" w:cs="Arial"/>
          <w:szCs w:val="22"/>
          <w:lang w:val="en-AU" w:bidi="ar-SA"/>
        </w:rPr>
        <w:t>prepared</w:t>
      </w:r>
      <w:r w:rsidR="000F3437" w:rsidRPr="004E0CFB">
        <w:rPr>
          <w:rFonts w:eastAsia="Calibri" w:cs="Arial"/>
          <w:szCs w:val="22"/>
          <w:lang w:val="en-AU" w:bidi="ar-SA"/>
        </w:rPr>
        <w:t xml:space="preserve"> a draft variation.</w:t>
      </w:r>
    </w:p>
    <w:p w14:paraId="5B90ACDC" w14:textId="67D67C46" w:rsidR="000F3437" w:rsidRDefault="000F3437" w:rsidP="00017CEA">
      <w:pPr>
        <w:autoSpaceDE w:val="0"/>
        <w:autoSpaceDN w:val="0"/>
        <w:adjustRightInd w:val="0"/>
        <w:rPr>
          <w:rFonts w:eastAsia="Calibri" w:cs="Arial"/>
          <w:szCs w:val="22"/>
          <w:lang w:val="en-AU" w:bidi="ar-SA"/>
        </w:rPr>
      </w:pPr>
    </w:p>
    <w:p w14:paraId="02B229C0" w14:textId="498E9099" w:rsidR="00767570" w:rsidRDefault="00867E86" w:rsidP="00017CEA">
      <w:pPr>
        <w:autoSpaceDE w:val="0"/>
        <w:autoSpaceDN w:val="0"/>
        <w:adjustRightInd w:val="0"/>
      </w:pPr>
      <w:r>
        <w:rPr>
          <w:rFonts w:eastAsia="Calibri" w:cs="Arial"/>
          <w:szCs w:val="22"/>
          <w:lang w:val="en-AU" w:bidi="ar-SA"/>
        </w:rPr>
        <w:t xml:space="preserve">The Authority </w:t>
      </w:r>
      <w:r w:rsidR="000F3437">
        <w:rPr>
          <w:rFonts w:eastAsia="Calibri" w:cs="Arial"/>
          <w:szCs w:val="22"/>
          <w:lang w:val="en-AU" w:bidi="ar-SA"/>
        </w:rPr>
        <w:t>called for submissions on that draft variation in 2014 under section 61 of the FSANZ Act</w:t>
      </w:r>
      <w:r w:rsidR="009551E8">
        <w:rPr>
          <w:rFonts w:eastAsia="Calibri" w:cs="Arial"/>
          <w:szCs w:val="22"/>
          <w:lang w:val="en-AU" w:bidi="ar-SA"/>
        </w:rPr>
        <w:t xml:space="preserve"> and </w:t>
      </w:r>
      <w:r w:rsidR="00767570">
        <w:rPr>
          <w:rFonts w:eastAsia="Calibri" w:cs="Arial"/>
          <w:szCs w:val="22"/>
          <w:lang w:val="en-AU" w:bidi="ar-SA"/>
        </w:rPr>
        <w:t xml:space="preserve">has </w:t>
      </w:r>
      <w:r w:rsidR="000F3437">
        <w:rPr>
          <w:rFonts w:eastAsia="Calibri" w:cs="Arial"/>
          <w:szCs w:val="22"/>
          <w:lang w:val="en-AU" w:bidi="ar-SA"/>
        </w:rPr>
        <w:t>had regard to all submissions made during the call for submissions in accordance with subsection 63(2) of the Act</w:t>
      </w:r>
      <w:r w:rsidR="009551E8">
        <w:rPr>
          <w:rFonts w:eastAsia="Calibri" w:cs="Arial"/>
          <w:szCs w:val="22"/>
          <w:lang w:val="en-AU" w:bidi="ar-SA"/>
        </w:rPr>
        <w:t>.</w:t>
      </w:r>
      <w:r w:rsidR="005F6D41">
        <w:rPr>
          <w:rFonts w:eastAsia="Calibri" w:cs="Arial"/>
          <w:szCs w:val="22"/>
          <w:lang w:val="en-AU" w:bidi="ar-SA"/>
        </w:rPr>
        <w:t xml:space="preserve"> </w:t>
      </w:r>
      <w:r w:rsidR="00522539">
        <w:rPr>
          <w:rFonts w:eastAsia="Calibri" w:cs="Arial"/>
          <w:szCs w:val="22"/>
          <w:lang w:val="en-AU" w:bidi="ar-SA"/>
        </w:rPr>
        <w:t xml:space="preserve">Consequently, </w:t>
      </w:r>
      <w:r>
        <w:rPr>
          <w:rFonts w:eastAsia="Calibri" w:cs="Arial"/>
          <w:szCs w:val="22"/>
          <w:lang w:val="en-AU" w:bidi="ar-SA"/>
        </w:rPr>
        <w:t xml:space="preserve">the Authority </w:t>
      </w:r>
      <w:r w:rsidR="00522539">
        <w:rPr>
          <w:rFonts w:eastAsia="Calibri" w:cs="Arial"/>
          <w:szCs w:val="22"/>
          <w:lang w:val="en-AU" w:bidi="ar-SA"/>
        </w:rPr>
        <w:t xml:space="preserve">has further </w:t>
      </w:r>
      <w:r w:rsidR="009551E8">
        <w:rPr>
          <w:rFonts w:eastAsia="Calibri" w:cs="Arial"/>
          <w:szCs w:val="22"/>
          <w:lang w:val="en-AU" w:bidi="ar-SA"/>
        </w:rPr>
        <w:t>considered the Proposal</w:t>
      </w:r>
      <w:r w:rsidR="00522539">
        <w:rPr>
          <w:rFonts w:eastAsia="Calibri" w:cs="Arial"/>
          <w:szCs w:val="22"/>
          <w:lang w:val="en-AU" w:bidi="ar-SA"/>
        </w:rPr>
        <w:t xml:space="preserve"> </w:t>
      </w:r>
      <w:r w:rsidR="00522539" w:rsidRPr="004E0CFB">
        <w:rPr>
          <w:rFonts w:eastAsia="Calibri" w:cs="Arial"/>
          <w:szCs w:val="22"/>
          <w:lang w:val="en-AU" w:bidi="ar-SA"/>
        </w:rPr>
        <w:t xml:space="preserve">in accordance with Division 2 of Part 3 </w:t>
      </w:r>
      <w:r w:rsidR="00522539">
        <w:rPr>
          <w:rFonts w:eastAsia="Calibri" w:cs="Arial"/>
          <w:szCs w:val="22"/>
          <w:lang w:val="en-AU" w:bidi="ar-SA"/>
        </w:rPr>
        <w:t>of the FSANZ Act</w:t>
      </w:r>
      <w:r w:rsidR="00767570">
        <w:rPr>
          <w:rFonts w:eastAsia="Calibri" w:cs="Arial"/>
          <w:szCs w:val="22"/>
          <w:lang w:val="en-AU" w:bidi="ar-SA"/>
        </w:rPr>
        <w:t>; and</w:t>
      </w:r>
      <w:r w:rsidR="009551E8">
        <w:rPr>
          <w:rFonts w:eastAsia="Calibri" w:cs="Arial"/>
          <w:szCs w:val="22"/>
          <w:lang w:val="en-AU" w:bidi="ar-SA"/>
        </w:rPr>
        <w:t xml:space="preserve"> </w:t>
      </w:r>
      <w:r w:rsidR="005F6D41">
        <w:rPr>
          <w:rFonts w:eastAsia="Calibri" w:cs="Arial"/>
          <w:szCs w:val="22"/>
          <w:lang w:val="en-AU" w:bidi="ar-SA"/>
        </w:rPr>
        <w:t xml:space="preserve">revised the scope and direction of the Proposal to limit its </w:t>
      </w:r>
      <w:r w:rsidR="005F6D41">
        <w:rPr>
          <w:szCs w:val="22"/>
        </w:rPr>
        <w:t xml:space="preserve">focus on the </w:t>
      </w:r>
      <w:r w:rsidR="005F6D41" w:rsidRPr="006329EA">
        <w:rPr>
          <w:lang w:bidi="ar-SA"/>
        </w:rPr>
        <w:t xml:space="preserve">composition and labelling </w:t>
      </w:r>
      <w:r w:rsidR="005F6D41">
        <w:rPr>
          <w:lang w:bidi="ar-SA"/>
        </w:rPr>
        <w:t>of electrolyte drinks</w:t>
      </w:r>
      <w:r w:rsidR="00767570">
        <w:rPr>
          <w:lang w:bidi="ar-SA"/>
        </w:rPr>
        <w:t xml:space="preserve">. </w:t>
      </w:r>
      <w:r w:rsidR="00767570">
        <w:t>The regulation of electrolyte drinks and electrolyte drink bases will remain in Part 2.6 of the Code and not be transferred to Part 2.9 as previously proposed.</w:t>
      </w:r>
    </w:p>
    <w:p w14:paraId="797D072F" w14:textId="77777777" w:rsidR="00767570" w:rsidRDefault="00767570" w:rsidP="00017CEA">
      <w:pPr>
        <w:autoSpaceDE w:val="0"/>
        <w:autoSpaceDN w:val="0"/>
        <w:adjustRightInd w:val="0"/>
      </w:pPr>
    </w:p>
    <w:p w14:paraId="03A72036" w14:textId="55FFF791" w:rsidR="000F3437" w:rsidRPr="002136BC" w:rsidRDefault="00867E86" w:rsidP="00017CEA">
      <w:pPr>
        <w:autoSpaceDE w:val="0"/>
        <w:autoSpaceDN w:val="0"/>
        <w:adjustRightInd w:val="0"/>
        <w:rPr>
          <w:rFonts w:eastAsia="Calibri" w:cs="Arial"/>
          <w:bCs/>
          <w:lang w:val="en-AU"/>
        </w:rPr>
      </w:pPr>
      <w:r>
        <w:rPr>
          <w:lang w:bidi="ar-SA"/>
        </w:rPr>
        <w:t xml:space="preserve">The Authority </w:t>
      </w:r>
      <w:r w:rsidR="00767570">
        <w:rPr>
          <w:lang w:bidi="ar-SA"/>
        </w:rPr>
        <w:t>has</w:t>
      </w:r>
      <w:r w:rsidR="009551E8">
        <w:rPr>
          <w:lang w:bidi="ar-SA"/>
        </w:rPr>
        <w:t xml:space="preserve"> amended the draft variation accordingly</w:t>
      </w:r>
      <w:r w:rsidR="005F6D41">
        <w:rPr>
          <w:rFonts w:eastAsia="Calibri" w:cs="Arial"/>
          <w:szCs w:val="22"/>
          <w:lang w:val="en-AU" w:bidi="ar-SA"/>
        </w:rPr>
        <w:t>.</w:t>
      </w:r>
      <w:r w:rsidR="00D11F1B">
        <w:rPr>
          <w:rFonts w:eastAsia="Calibri" w:cs="Arial"/>
          <w:szCs w:val="22"/>
          <w:lang w:val="en-AU" w:bidi="ar-SA"/>
        </w:rPr>
        <w:t xml:space="preserve"> </w:t>
      </w:r>
    </w:p>
    <w:p w14:paraId="56963223" w14:textId="77777777" w:rsidR="00017CEA" w:rsidRPr="002136BC" w:rsidRDefault="00017CEA" w:rsidP="00017CEA">
      <w:pPr>
        <w:autoSpaceDE w:val="0"/>
        <w:autoSpaceDN w:val="0"/>
        <w:adjustRightInd w:val="0"/>
        <w:rPr>
          <w:rFonts w:eastAsia="Calibri" w:cs="Arial"/>
          <w:bCs/>
          <w:lang w:val="en-AU"/>
        </w:rPr>
      </w:pPr>
    </w:p>
    <w:p w14:paraId="5B0E544F" w14:textId="77777777" w:rsidR="00017CEA" w:rsidRPr="002136BC" w:rsidRDefault="00017CEA" w:rsidP="00017CEA">
      <w:pPr>
        <w:jc w:val="both"/>
        <w:rPr>
          <w:b/>
          <w:lang w:val="en-AU" w:eastAsia="en-GB"/>
        </w:rPr>
      </w:pPr>
      <w:r w:rsidRPr="002136BC">
        <w:rPr>
          <w:b/>
          <w:lang w:val="en-AU" w:eastAsia="en-GB"/>
        </w:rPr>
        <w:t>2.</w:t>
      </w:r>
      <w:r w:rsidRPr="002136BC">
        <w:rPr>
          <w:b/>
          <w:lang w:val="en-AU" w:eastAsia="en-GB"/>
        </w:rPr>
        <w:tab/>
        <w:t xml:space="preserve">Purpose </w:t>
      </w:r>
    </w:p>
    <w:p w14:paraId="4FC5549B" w14:textId="77777777" w:rsidR="00017CEA" w:rsidRPr="002136BC" w:rsidRDefault="00017CEA" w:rsidP="00017CEA">
      <w:pPr>
        <w:rPr>
          <w:lang w:val="en-AU" w:eastAsia="en-GB"/>
        </w:rPr>
      </w:pPr>
    </w:p>
    <w:p w14:paraId="604BAC74" w14:textId="3759D874" w:rsidR="00017CEA" w:rsidRPr="002136BC" w:rsidRDefault="00017CEA" w:rsidP="00017CEA">
      <w:pPr>
        <w:rPr>
          <w:lang w:val="en-AU" w:eastAsia="en-GB"/>
        </w:rPr>
      </w:pPr>
      <w:r w:rsidRPr="002136BC">
        <w:rPr>
          <w:lang w:val="en-AU" w:eastAsia="en-GB"/>
        </w:rPr>
        <w:t xml:space="preserve">The Authority has </w:t>
      </w:r>
      <w:r>
        <w:rPr>
          <w:lang w:val="en-AU" w:eastAsia="en-GB"/>
        </w:rPr>
        <w:t>prepared</w:t>
      </w:r>
      <w:r w:rsidRPr="002136BC">
        <w:rPr>
          <w:lang w:val="en-AU" w:eastAsia="en-GB"/>
        </w:rPr>
        <w:t xml:space="preserve"> a</w:t>
      </w:r>
      <w:r>
        <w:rPr>
          <w:lang w:val="en-AU" w:eastAsia="en-GB"/>
        </w:rPr>
        <w:t>n amended</w:t>
      </w:r>
      <w:r w:rsidRPr="002136BC">
        <w:rPr>
          <w:lang w:val="en-AU" w:eastAsia="en-GB"/>
        </w:rPr>
        <w:t xml:space="preserve"> draft variation that</w:t>
      </w:r>
      <w:r>
        <w:rPr>
          <w:lang w:val="en-AU" w:eastAsia="en-GB"/>
        </w:rPr>
        <w:t xml:space="preserve"> amends Standards 1.1.2, 1.2.1 and 2.6.2 of the Code to </w:t>
      </w:r>
      <w:r w:rsidRPr="00EE646A">
        <w:rPr>
          <w:rFonts w:eastAsia="Calibri" w:cs="Arial"/>
          <w:bCs/>
          <w:lang w:val="en-AU"/>
        </w:rPr>
        <w:t>improve the regulation of</w:t>
      </w:r>
      <w:r>
        <w:rPr>
          <w:rFonts w:eastAsia="Calibri" w:cs="Arial"/>
          <w:bCs/>
          <w:lang w:val="en-AU"/>
        </w:rPr>
        <w:t xml:space="preserve"> the composition and labelling of electrolyte drinks and electrolyte drink bases</w:t>
      </w:r>
      <w:r w:rsidRPr="002136BC">
        <w:rPr>
          <w:lang w:val="en-AU" w:eastAsia="en-GB"/>
        </w:rPr>
        <w:t xml:space="preserve">. </w:t>
      </w:r>
      <w:r>
        <w:rPr>
          <w:lang w:val="en-AU" w:eastAsia="en-GB"/>
        </w:rPr>
        <w:t xml:space="preserve">This includes amending the definition of ‘electrolyte drink’; reducing the minimum level of carbohydrate; and </w:t>
      </w:r>
      <w:r w:rsidRPr="00B14276">
        <w:rPr>
          <w:lang w:val="en-AU" w:eastAsia="en-GB"/>
        </w:rPr>
        <w:t xml:space="preserve">setting out revised </w:t>
      </w:r>
      <w:r w:rsidRPr="00B14276">
        <w:t xml:space="preserve">requirements and limitations for nutrition content claims </w:t>
      </w:r>
      <w:r>
        <w:t xml:space="preserve">and health claims </w:t>
      </w:r>
      <w:r w:rsidRPr="00B14276">
        <w:rPr>
          <w:lang w:val="en-AU" w:eastAsia="en-GB"/>
        </w:rPr>
        <w:t>that may be made in relation to</w:t>
      </w:r>
      <w:r w:rsidRPr="00B14276">
        <w:t xml:space="preserve"> electrolyte drinks and electrolyte drink bases</w:t>
      </w:r>
      <w:r>
        <w:rPr>
          <w:rFonts w:eastAsia="Calibri" w:cs="Arial"/>
          <w:bCs/>
          <w:lang w:val="en-AU"/>
        </w:rPr>
        <w:t>.</w:t>
      </w:r>
      <w:r w:rsidR="00522539">
        <w:rPr>
          <w:rFonts w:eastAsia="Calibri" w:cs="Arial"/>
          <w:bCs/>
          <w:lang w:val="en-AU"/>
        </w:rPr>
        <w:t xml:space="preserve"> </w:t>
      </w:r>
    </w:p>
    <w:p w14:paraId="5223B86E" w14:textId="77777777" w:rsidR="00017CEA" w:rsidRPr="002136BC" w:rsidRDefault="00017CEA" w:rsidP="00017CEA">
      <w:pPr>
        <w:rPr>
          <w:lang w:val="en-AU" w:eastAsia="en-GB"/>
        </w:rPr>
      </w:pPr>
    </w:p>
    <w:p w14:paraId="3F672914" w14:textId="77777777" w:rsidR="00017CEA" w:rsidRPr="002136BC" w:rsidRDefault="00017CEA" w:rsidP="00017CEA">
      <w:pPr>
        <w:rPr>
          <w:b/>
          <w:lang w:val="en-AU" w:eastAsia="en-GB"/>
        </w:rPr>
      </w:pPr>
      <w:r w:rsidRPr="002136BC">
        <w:rPr>
          <w:b/>
          <w:lang w:val="en-AU" w:eastAsia="en-GB"/>
        </w:rPr>
        <w:t>3.</w:t>
      </w:r>
      <w:r w:rsidRPr="002136BC">
        <w:rPr>
          <w:b/>
          <w:lang w:val="en-AU" w:eastAsia="en-GB"/>
        </w:rPr>
        <w:tab/>
        <w:t>Documents incorporated by reference</w:t>
      </w:r>
    </w:p>
    <w:p w14:paraId="739FCB4A" w14:textId="77777777" w:rsidR="00017CEA" w:rsidRPr="002136BC" w:rsidRDefault="00017CEA" w:rsidP="00017CEA">
      <w:pPr>
        <w:rPr>
          <w:lang w:val="en-AU" w:eastAsia="en-GB"/>
        </w:rPr>
      </w:pPr>
    </w:p>
    <w:p w14:paraId="5446CCB8" w14:textId="77777777" w:rsidR="00017CEA" w:rsidRPr="002136BC" w:rsidRDefault="00017CEA" w:rsidP="00017CEA">
      <w:pPr>
        <w:autoSpaceDE w:val="0"/>
        <w:autoSpaceDN w:val="0"/>
        <w:adjustRightInd w:val="0"/>
        <w:rPr>
          <w:rFonts w:eastAsia="Calibri" w:cs="Arial"/>
          <w:bCs/>
          <w:lang w:val="en-AU"/>
        </w:rPr>
      </w:pPr>
      <w:r w:rsidRPr="002136BC">
        <w:rPr>
          <w:rFonts w:eastAsia="Calibri" w:cs="Arial"/>
          <w:bCs/>
          <w:lang w:val="en-AU"/>
        </w:rPr>
        <w:t>The variations to food regulatory measures do not incorporate any documents by reference.</w:t>
      </w:r>
    </w:p>
    <w:p w14:paraId="3B288BFB" w14:textId="77777777" w:rsidR="00017CEA" w:rsidRPr="002136BC" w:rsidRDefault="00017CEA" w:rsidP="00017CEA">
      <w:pPr>
        <w:rPr>
          <w:lang w:val="en-AU" w:eastAsia="en-GB"/>
        </w:rPr>
      </w:pPr>
    </w:p>
    <w:p w14:paraId="1D8EED8F" w14:textId="77777777" w:rsidR="00017CEA" w:rsidRPr="002136BC" w:rsidRDefault="00017CEA" w:rsidP="00017CEA">
      <w:pPr>
        <w:rPr>
          <w:b/>
          <w:lang w:val="en-AU" w:eastAsia="en-GB"/>
        </w:rPr>
      </w:pPr>
      <w:r w:rsidRPr="002136BC">
        <w:rPr>
          <w:b/>
          <w:lang w:val="en-AU" w:eastAsia="en-GB"/>
        </w:rPr>
        <w:t>4.</w:t>
      </w:r>
      <w:r w:rsidRPr="002136BC">
        <w:rPr>
          <w:b/>
          <w:lang w:val="en-AU" w:eastAsia="en-GB"/>
        </w:rPr>
        <w:tab/>
        <w:t>Consultation</w:t>
      </w:r>
    </w:p>
    <w:p w14:paraId="0F3C4478" w14:textId="77777777" w:rsidR="00017CEA" w:rsidRPr="002136BC" w:rsidRDefault="00017CEA" w:rsidP="00017CEA">
      <w:pPr>
        <w:rPr>
          <w:lang w:val="en-AU" w:eastAsia="en-GB"/>
        </w:rPr>
      </w:pPr>
    </w:p>
    <w:p w14:paraId="161B67F1" w14:textId="77777777" w:rsidR="00017CEA" w:rsidRDefault="00017CEA" w:rsidP="00017CEA">
      <w:r w:rsidRPr="002136BC">
        <w:t xml:space="preserve">In accordance with the procedure in Division 2 of Part 3 of the FSANZ Act, </w:t>
      </w:r>
      <w:r w:rsidRPr="002136BC">
        <w:rPr>
          <w:rFonts w:eastAsia="Calibri" w:cs="Arial"/>
          <w:bCs/>
          <w:lang w:val="en-AU"/>
        </w:rPr>
        <w:t>the Authority</w:t>
      </w:r>
      <w:r w:rsidRPr="002136BC">
        <w:t xml:space="preserve">’s consideration of Proposal P1030 </w:t>
      </w:r>
      <w:r>
        <w:t xml:space="preserve">has to date </w:t>
      </w:r>
      <w:r w:rsidRPr="002136BC">
        <w:t>include</w:t>
      </w:r>
      <w:r>
        <w:t>d</w:t>
      </w:r>
      <w:r w:rsidRPr="002136BC">
        <w:t xml:space="preserve"> one round of public consultation </w:t>
      </w:r>
      <w:r>
        <w:t xml:space="preserve">in 2014 </w:t>
      </w:r>
      <w:r w:rsidRPr="002136BC">
        <w:t xml:space="preserve">following an assessment and the preparation of a draft variation and associated report. </w:t>
      </w:r>
    </w:p>
    <w:p w14:paraId="346F52CE" w14:textId="77777777" w:rsidR="00017CEA" w:rsidRDefault="00017CEA" w:rsidP="00017CEA"/>
    <w:p w14:paraId="7BA31D60" w14:textId="7202C356" w:rsidR="00017CEA" w:rsidRPr="002136BC" w:rsidRDefault="00522539" w:rsidP="00017CEA">
      <w:pPr>
        <w:rPr>
          <w:lang w:val="en-AU"/>
        </w:rPr>
      </w:pPr>
      <w:r>
        <w:rPr>
          <w:rFonts w:eastAsia="Calibri" w:cs="Arial"/>
          <w:bCs/>
          <w:lang w:val="en-AU"/>
        </w:rPr>
        <w:t xml:space="preserve">As stated above, the </w:t>
      </w:r>
      <w:r w:rsidR="00017CEA">
        <w:rPr>
          <w:rFonts w:eastAsia="Calibri" w:cs="Arial"/>
          <w:bCs/>
          <w:lang w:val="en-AU"/>
        </w:rPr>
        <w:t>Authority</w:t>
      </w:r>
      <w:r w:rsidR="00017CEA" w:rsidRPr="002136BC">
        <w:rPr>
          <w:rFonts w:eastAsia="Calibri" w:cs="Arial"/>
          <w:bCs/>
          <w:lang w:val="en-AU"/>
        </w:rPr>
        <w:t xml:space="preserve"> </w:t>
      </w:r>
      <w:r w:rsidR="00017CEA">
        <w:rPr>
          <w:rFonts w:eastAsia="Calibri" w:cs="Arial"/>
          <w:bCs/>
          <w:lang w:val="en-AU"/>
        </w:rPr>
        <w:t xml:space="preserve">has amended the scope of </w:t>
      </w:r>
      <w:r w:rsidR="00017CEA" w:rsidRPr="002136BC">
        <w:rPr>
          <w:rFonts w:eastAsia="Calibri" w:cs="Arial"/>
          <w:bCs/>
          <w:lang w:val="en-AU"/>
        </w:rPr>
        <w:t xml:space="preserve">Proposal P1030 </w:t>
      </w:r>
      <w:r w:rsidR="00017CEA">
        <w:rPr>
          <w:rFonts w:eastAsia="Calibri" w:cs="Arial"/>
          <w:bCs/>
          <w:lang w:val="en-AU"/>
        </w:rPr>
        <w:t>following the call for submissions in 2014</w:t>
      </w:r>
      <w:r w:rsidR="00767570">
        <w:rPr>
          <w:rFonts w:eastAsia="Calibri" w:cs="Arial"/>
          <w:bCs/>
          <w:lang w:val="en-AU"/>
        </w:rPr>
        <w:t xml:space="preserve"> and prepared an amended draft variation</w:t>
      </w:r>
      <w:r w:rsidR="00017CEA">
        <w:rPr>
          <w:rFonts w:eastAsia="Calibri" w:cs="Arial"/>
          <w:bCs/>
          <w:lang w:val="en-AU"/>
        </w:rPr>
        <w:t xml:space="preserve">. </w:t>
      </w:r>
      <w:r w:rsidR="00767570">
        <w:t xml:space="preserve">The Authority </w:t>
      </w:r>
      <w:r w:rsidR="00017CEA">
        <w:t xml:space="preserve">is now consulting </w:t>
      </w:r>
      <w:r w:rsidR="00017CEA" w:rsidRPr="008707C4">
        <w:t xml:space="preserve">with stakeholders on </w:t>
      </w:r>
      <w:r w:rsidR="00017CEA">
        <w:t>the amended draft variation.</w:t>
      </w:r>
    </w:p>
    <w:p w14:paraId="3BAAE197" w14:textId="77777777" w:rsidR="00017CEA" w:rsidRPr="002136BC" w:rsidRDefault="00017CEA" w:rsidP="00017CEA"/>
    <w:p w14:paraId="259D2D82" w14:textId="77777777" w:rsidR="00017CEA" w:rsidRPr="00DD0E63" w:rsidRDefault="00017CEA" w:rsidP="00017CEA">
      <w:pPr>
        <w:spacing w:before="120" w:after="120"/>
        <w:rPr>
          <w:rFonts w:cs="Arial"/>
        </w:rPr>
      </w:pPr>
      <w:r w:rsidRPr="00B21DA4">
        <w:rPr>
          <w:rFonts w:cs="Arial"/>
        </w:rPr>
        <w:t xml:space="preserve">The Office of Best Practice Regulation (OBPR) </w:t>
      </w:r>
      <w:r>
        <w:rPr>
          <w:rFonts w:cs="Arial"/>
        </w:rPr>
        <w:t xml:space="preserve">had previously </w:t>
      </w:r>
      <w:r w:rsidRPr="00B21DA4">
        <w:rPr>
          <w:rFonts w:cs="Arial"/>
        </w:rPr>
        <w:t>exempted FSANZ from the need to undertake a formal Regulation Impact Statement (RIS) in relation to the regulatory change</w:t>
      </w:r>
      <w:r>
        <w:rPr>
          <w:rFonts w:cs="Arial"/>
        </w:rPr>
        <w:t>s</w:t>
      </w:r>
      <w:r w:rsidRPr="00B21DA4">
        <w:rPr>
          <w:rFonts w:cs="Arial"/>
        </w:rPr>
        <w:t xml:space="preserve"> proposed in response to this Proposal (</w:t>
      </w:r>
      <w:r>
        <w:rPr>
          <w:rFonts w:cs="Arial"/>
        </w:rPr>
        <w:t>ID: 16662). The Proposal has undergone significant change in direction since the CFS, so FSANZ sought further advice from t</w:t>
      </w:r>
      <w:r w:rsidRPr="00DD0E63">
        <w:rPr>
          <w:rFonts w:cs="Arial"/>
        </w:rPr>
        <w:t>he OPBR</w:t>
      </w:r>
      <w:r>
        <w:rPr>
          <w:rFonts w:cs="Arial"/>
        </w:rPr>
        <w:t>,</w:t>
      </w:r>
      <w:r w:rsidRPr="00DD0E63">
        <w:rPr>
          <w:rFonts w:cs="Arial"/>
        </w:rPr>
        <w:t xml:space="preserve"> </w:t>
      </w:r>
      <w:r>
        <w:rPr>
          <w:rFonts w:cs="Arial"/>
        </w:rPr>
        <w:t xml:space="preserve">who subsequently confirmed they are </w:t>
      </w:r>
      <w:r w:rsidRPr="00DD0E63">
        <w:rPr>
          <w:rFonts w:cs="Arial"/>
        </w:rPr>
        <w:t>satisfied that the sought variation is deregulatory and is likely to only have a minor effect on consumers, businesses, and government</w:t>
      </w:r>
      <w:r>
        <w:rPr>
          <w:rFonts w:cs="Arial"/>
        </w:rPr>
        <w:t xml:space="preserve"> (ID:</w:t>
      </w:r>
      <w:r w:rsidRPr="00FD196A">
        <w:rPr>
          <w:rFonts w:cs="Arial"/>
        </w:rPr>
        <w:t xml:space="preserve"> </w:t>
      </w:r>
      <w:r>
        <w:rPr>
          <w:rFonts w:cs="Arial"/>
        </w:rPr>
        <w:t>43269)</w:t>
      </w:r>
      <w:r w:rsidRPr="00DD0E63">
        <w:rPr>
          <w:rFonts w:cs="Arial"/>
        </w:rPr>
        <w:t xml:space="preserve">. </w:t>
      </w:r>
    </w:p>
    <w:p w14:paraId="19E78AED" w14:textId="77777777" w:rsidR="00017CEA" w:rsidRPr="002136BC" w:rsidRDefault="00017CEA" w:rsidP="00017CEA">
      <w:pPr>
        <w:rPr>
          <w:rFonts w:eastAsia="Calibri" w:cs="Arial"/>
          <w:bCs/>
          <w:lang w:val="en-AU"/>
        </w:rPr>
      </w:pPr>
    </w:p>
    <w:p w14:paraId="62C97080" w14:textId="77777777" w:rsidR="00017CEA" w:rsidRPr="002136BC" w:rsidRDefault="00017CEA" w:rsidP="00017CEA">
      <w:pPr>
        <w:rPr>
          <w:rFonts w:eastAsia="Calibri" w:cs="Arial"/>
          <w:b/>
          <w:bCs/>
          <w:lang w:val="en-AU"/>
        </w:rPr>
      </w:pPr>
      <w:r w:rsidRPr="002136BC">
        <w:rPr>
          <w:rFonts w:eastAsia="Calibri" w:cs="Arial"/>
          <w:b/>
          <w:bCs/>
          <w:lang w:val="en-AU"/>
        </w:rPr>
        <w:t>5.</w:t>
      </w:r>
      <w:r w:rsidRPr="002136BC">
        <w:rPr>
          <w:rFonts w:eastAsia="Calibri" w:cs="Arial"/>
          <w:b/>
          <w:bCs/>
          <w:lang w:val="en-AU"/>
        </w:rPr>
        <w:tab/>
        <w:t>Statement of compatibility with human rights</w:t>
      </w:r>
    </w:p>
    <w:p w14:paraId="64EDC680" w14:textId="77777777" w:rsidR="00017CEA" w:rsidRPr="002136BC" w:rsidRDefault="00017CEA" w:rsidP="00017CEA">
      <w:pPr>
        <w:rPr>
          <w:rFonts w:eastAsia="Calibri"/>
          <w:lang w:val="en-AU"/>
        </w:rPr>
      </w:pPr>
    </w:p>
    <w:p w14:paraId="10E4FAD7" w14:textId="77777777" w:rsidR="00017CEA" w:rsidRDefault="00017CEA" w:rsidP="00017CEA">
      <w:pPr>
        <w:rPr>
          <w:rFonts w:eastAsia="Calibri"/>
          <w:lang w:val="en-AU"/>
        </w:rPr>
      </w:pPr>
      <w:r w:rsidRPr="002136BC">
        <w:rPr>
          <w:rFonts w:eastAsia="Calibri"/>
          <w:lang w:val="en-AU"/>
        </w:rPr>
        <w:t>This instrument is exempt from the requirements for a statement of compatibility with human rights as it is a non-disallowable instrument under section 94 of the FSANZ Act.</w:t>
      </w:r>
    </w:p>
    <w:p w14:paraId="3B77B185" w14:textId="77777777" w:rsidR="00017CEA" w:rsidRPr="002136BC" w:rsidRDefault="00017CEA" w:rsidP="00017CEA">
      <w:pPr>
        <w:rPr>
          <w:rFonts w:eastAsia="Calibri"/>
          <w:lang w:val="en-AU"/>
        </w:rPr>
      </w:pPr>
    </w:p>
    <w:p w14:paraId="79E2039E" w14:textId="77777777" w:rsidR="00017CEA" w:rsidRPr="002136BC" w:rsidRDefault="00017CEA" w:rsidP="00017CEA">
      <w:pPr>
        <w:jc w:val="both"/>
        <w:rPr>
          <w:b/>
          <w:lang w:val="en-AU" w:eastAsia="en-GB"/>
        </w:rPr>
      </w:pPr>
      <w:r w:rsidRPr="002136BC">
        <w:rPr>
          <w:b/>
        </w:rPr>
        <w:t>6.</w:t>
      </w:r>
      <w:r w:rsidRPr="002136BC">
        <w:rPr>
          <w:b/>
        </w:rPr>
        <w:tab/>
      </w:r>
      <w:r w:rsidRPr="002136BC">
        <w:rPr>
          <w:b/>
          <w:lang w:val="en-AU" w:eastAsia="en-GB"/>
        </w:rPr>
        <w:t>Variation</w:t>
      </w:r>
    </w:p>
    <w:p w14:paraId="6EB1CF76" w14:textId="77777777" w:rsidR="00017CEA" w:rsidRPr="002136BC" w:rsidRDefault="00017CEA" w:rsidP="00017CEA">
      <w:pPr>
        <w:jc w:val="both"/>
        <w:rPr>
          <w:b/>
        </w:rPr>
      </w:pPr>
    </w:p>
    <w:p w14:paraId="3670E6DE" w14:textId="77777777" w:rsidR="00017CEA" w:rsidRPr="002136BC" w:rsidRDefault="00017CEA" w:rsidP="00017CEA">
      <w:pPr>
        <w:jc w:val="both"/>
        <w:rPr>
          <w:b/>
          <w:i/>
        </w:rPr>
      </w:pPr>
      <w:r w:rsidRPr="002136BC">
        <w:rPr>
          <w:b/>
          <w:i/>
        </w:rPr>
        <w:t>Standard 1.</w:t>
      </w:r>
      <w:r>
        <w:rPr>
          <w:b/>
          <w:i/>
        </w:rPr>
        <w:t>1</w:t>
      </w:r>
      <w:r w:rsidRPr="002136BC">
        <w:rPr>
          <w:b/>
          <w:i/>
        </w:rPr>
        <w:t>.</w:t>
      </w:r>
      <w:r>
        <w:rPr>
          <w:b/>
          <w:i/>
        </w:rPr>
        <w:t>2</w:t>
      </w:r>
      <w:r w:rsidRPr="002136BC">
        <w:rPr>
          <w:b/>
          <w:i/>
        </w:rPr>
        <w:t xml:space="preserve"> – </w:t>
      </w:r>
      <w:r>
        <w:rPr>
          <w:b/>
          <w:i/>
        </w:rPr>
        <w:t>Definitions used throughout the Code</w:t>
      </w:r>
    </w:p>
    <w:p w14:paraId="24559603" w14:textId="77777777" w:rsidR="00017CEA" w:rsidRPr="002136BC" w:rsidRDefault="00017CEA" w:rsidP="00017CEA"/>
    <w:p w14:paraId="0268AFE2" w14:textId="77777777" w:rsidR="00017CEA" w:rsidRDefault="00017CEA" w:rsidP="00017CEA">
      <w:r w:rsidRPr="002136BC">
        <w:rPr>
          <w:b/>
        </w:rPr>
        <w:t>Item [1]</w:t>
      </w:r>
      <w:r w:rsidRPr="002136BC">
        <w:t xml:space="preserve"> amends</w:t>
      </w:r>
      <w:r>
        <w:t xml:space="preserve"> </w:t>
      </w:r>
      <w:r w:rsidRPr="009A1B7E">
        <w:t>the definition of ‘electrolyte drink’ in subsection 1.1.2—3(2)</w:t>
      </w:r>
      <w:r w:rsidRPr="002136BC">
        <w:t>.</w:t>
      </w:r>
      <w:r>
        <w:t xml:space="preserve"> The new definition is:</w:t>
      </w:r>
    </w:p>
    <w:p w14:paraId="05302CD3" w14:textId="77777777" w:rsidR="00017CEA" w:rsidRDefault="00017CEA" w:rsidP="00017CEA"/>
    <w:p w14:paraId="24344537" w14:textId="77777777" w:rsidR="00017CEA" w:rsidRDefault="00017CEA" w:rsidP="00017CEA">
      <w:pPr>
        <w:ind w:left="567"/>
      </w:pPr>
      <w:r>
        <w:t>‘</w:t>
      </w:r>
      <w:r w:rsidRPr="0089059A">
        <w:rPr>
          <w:b/>
          <w:i/>
        </w:rPr>
        <w:t>electrolyte drink</w:t>
      </w:r>
      <w:r w:rsidRPr="0089059A">
        <w:t xml:space="preserve"> means a drink formulated for the rapid replacement of fluid and electrolytes during or after 60 minutes or more of strenuous physical activity.</w:t>
      </w:r>
      <w:r>
        <w:t>’</w:t>
      </w:r>
    </w:p>
    <w:p w14:paraId="0450200C" w14:textId="77777777" w:rsidR="00017CEA" w:rsidRDefault="00017CEA" w:rsidP="00017CEA"/>
    <w:p w14:paraId="10EA251F" w14:textId="77777777" w:rsidR="00017CEA" w:rsidRPr="002136BC" w:rsidRDefault="00017CEA" w:rsidP="00017CEA">
      <w:pPr>
        <w:jc w:val="both"/>
        <w:rPr>
          <w:b/>
          <w:i/>
        </w:rPr>
      </w:pPr>
      <w:r w:rsidRPr="002136BC">
        <w:rPr>
          <w:b/>
          <w:i/>
        </w:rPr>
        <w:t>Standard 1.</w:t>
      </w:r>
      <w:r>
        <w:rPr>
          <w:b/>
          <w:i/>
        </w:rPr>
        <w:t>2</w:t>
      </w:r>
      <w:r w:rsidRPr="002136BC">
        <w:rPr>
          <w:b/>
          <w:i/>
        </w:rPr>
        <w:t xml:space="preserve">.1 – </w:t>
      </w:r>
      <w:r>
        <w:rPr>
          <w:b/>
          <w:i/>
        </w:rPr>
        <w:t>Requirements to have labels or otherwise provide information</w:t>
      </w:r>
    </w:p>
    <w:p w14:paraId="019ECD4D" w14:textId="77777777" w:rsidR="00017CEA" w:rsidRPr="002136BC" w:rsidRDefault="00017CEA" w:rsidP="00017CEA"/>
    <w:p w14:paraId="4436B330" w14:textId="77777777" w:rsidR="00017CEA" w:rsidRDefault="00017CEA" w:rsidP="00017CEA">
      <w:r w:rsidRPr="002136BC">
        <w:rPr>
          <w:b/>
        </w:rPr>
        <w:t>Item [2]</w:t>
      </w:r>
      <w:r w:rsidRPr="002136BC">
        <w:t xml:space="preserve"> amends Standard 1.</w:t>
      </w:r>
      <w:r>
        <w:t>2</w:t>
      </w:r>
      <w:r w:rsidRPr="002136BC">
        <w:t>.1</w:t>
      </w:r>
      <w:r>
        <w:t xml:space="preserve">. The item amends the reference in paragraph 1.2.1—8(1)(t) to information requirements in Standard 2.6.2 for </w:t>
      </w:r>
      <w:r w:rsidRPr="002136BC">
        <w:t>electrolyte drinks and electrolyte drink bases</w:t>
      </w:r>
      <w:r>
        <w:t xml:space="preserve"> as a consequence of amendments made to Standard 2.6.2 (see </w:t>
      </w:r>
      <w:r w:rsidRPr="00BA267F">
        <w:rPr>
          <w:b/>
        </w:rPr>
        <w:t>item [3]</w:t>
      </w:r>
      <w:r>
        <w:t xml:space="preserve"> below), including the numbering of relevant provisions in that Standard.</w:t>
      </w:r>
      <w:r w:rsidRPr="002136BC">
        <w:t xml:space="preserve"> </w:t>
      </w:r>
    </w:p>
    <w:p w14:paraId="01852115" w14:textId="77777777" w:rsidR="00017CEA" w:rsidRDefault="00017CEA" w:rsidP="00017CEA"/>
    <w:p w14:paraId="6B52C16C" w14:textId="77777777" w:rsidR="00017CEA" w:rsidRPr="002136BC" w:rsidRDefault="00017CEA" w:rsidP="00017CEA">
      <w:pPr>
        <w:jc w:val="both"/>
        <w:rPr>
          <w:b/>
          <w:i/>
        </w:rPr>
      </w:pPr>
      <w:r w:rsidRPr="002136BC">
        <w:rPr>
          <w:b/>
          <w:i/>
        </w:rPr>
        <w:t xml:space="preserve">Standard 2.6.2 – Non-alcoholic </w:t>
      </w:r>
      <w:r>
        <w:rPr>
          <w:b/>
          <w:i/>
        </w:rPr>
        <w:t>b</w:t>
      </w:r>
      <w:r w:rsidRPr="002136BC">
        <w:rPr>
          <w:b/>
          <w:i/>
        </w:rPr>
        <w:t xml:space="preserve">everages and </w:t>
      </w:r>
      <w:r>
        <w:rPr>
          <w:b/>
          <w:i/>
        </w:rPr>
        <w:t>b</w:t>
      </w:r>
      <w:r w:rsidRPr="002136BC">
        <w:rPr>
          <w:b/>
          <w:i/>
        </w:rPr>
        <w:t xml:space="preserve">rewed </w:t>
      </w:r>
      <w:r>
        <w:rPr>
          <w:b/>
          <w:i/>
        </w:rPr>
        <w:t>s</w:t>
      </w:r>
      <w:r w:rsidRPr="002136BC">
        <w:rPr>
          <w:b/>
          <w:i/>
        </w:rPr>
        <w:t xml:space="preserve">oft </w:t>
      </w:r>
      <w:r>
        <w:rPr>
          <w:b/>
          <w:i/>
        </w:rPr>
        <w:t>d</w:t>
      </w:r>
      <w:r w:rsidRPr="002136BC">
        <w:rPr>
          <w:b/>
          <w:i/>
        </w:rPr>
        <w:t>rinks</w:t>
      </w:r>
    </w:p>
    <w:p w14:paraId="60D33F2D" w14:textId="77777777" w:rsidR="00017CEA" w:rsidRPr="002136BC" w:rsidRDefault="00017CEA" w:rsidP="00017CEA"/>
    <w:p w14:paraId="232B78CB" w14:textId="77777777" w:rsidR="00017CEA" w:rsidRPr="002136BC" w:rsidRDefault="00017CEA" w:rsidP="00017CEA">
      <w:r w:rsidRPr="002136BC">
        <w:rPr>
          <w:b/>
        </w:rPr>
        <w:t xml:space="preserve">Item [3] </w:t>
      </w:r>
      <w:r w:rsidRPr="002136BC">
        <w:t>amends Standard 2.6.2</w:t>
      </w:r>
      <w:r>
        <w:t xml:space="preserve"> </w:t>
      </w:r>
      <w:r w:rsidRPr="002136BC">
        <w:t xml:space="preserve">as follows. </w:t>
      </w:r>
    </w:p>
    <w:p w14:paraId="55C5B63F" w14:textId="77777777" w:rsidR="00017CEA" w:rsidRPr="002136BC" w:rsidRDefault="00017CEA" w:rsidP="00017CEA"/>
    <w:p w14:paraId="1CED7910" w14:textId="77777777" w:rsidR="00017CEA" w:rsidRDefault="00017CEA" w:rsidP="00017CEA">
      <w:r w:rsidRPr="002136BC">
        <w:rPr>
          <w:b/>
        </w:rPr>
        <w:t>Subitem [3.1]</w:t>
      </w:r>
      <w:r w:rsidRPr="002136BC">
        <w:t xml:space="preserve"> </w:t>
      </w:r>
      <w:r>
        <w:t>inserts the heading of the first of four new Divisions in Standard 2.6.2  after</w:t>
      </w:r>
      <w:r w:rsidRPr="00AC0458">
        <w:t xml:space="preserve"> </w:t>
      </w:r>
      <w:r w:rsidRPr="00D04FC8">
        <w:rPr>
          <w:i/>
        </w:rPr>
        <w:t>Note 2</w:t>
      </w:r>
      <w:r w:rsidRPr="00AC0458">
        <w:t xml:space="preserve"> to </w:t>
      </w:r>
      <w:r w:rsidRPr="002136BC">
        <w:t>that Standard</w:t>
      </w:r>
      <w:r>
        <w:t>: ‘</w:t>
      </w:r>
      <w:r w:rsidRPr="00210A51">
        <w:rPr>
          <w:b/>
        </w:rPr>
        <w:t>Division 1</w:t>
      </w:r>
      <w:r>
        <w:rPr>
          <w:b/>
        </w:rPr>
        <w:t xml:space="preserve"> </w:t>
      </w:r>
      <w:r w:rsidRPr="00210A51">
        <w:rPr>
          <w:b/>
        </w:rPr>
        <w:t>Preliminary</w:t>
      </w:r>
      <w:r>
        <w:t>’</w:t>
      </w:r>
      <w:r w:rsidRPr="002136BC">
        <w:t>.</w:t>
      </w:r>
      <w:r>
        <w:t xml:space="preserve"> Division 1 encompasses sections </w:t>
      </w:r>
      <w:r w:rsidRPr="00210A51">
        <w:t>2.6.2—</w:t>
      </w:r>
      <w:r>
        <w:t xml:space="preserve">1 and </w:t>
      </w:r>
      <w:r w:rsidRPr="00210A51">
        <w:t>2.6.2—2</w:t>
      </w:r>
      <w:r>
        <w:t>.</w:t>
      </w:r>
    </w:p>
    <w:p w14:paraId="5D4A1D0C" w14:textId="77777777" w:rsidR="00017CEA" w:rsidRDefault="00017CEA" w:rsidP="00017CEA"/>
    <w:p w14:paraId="7F494513" w14:textId="77777777" w:rsidR="00017CEA" w:rsidRDefault="00017CEA" w:rsidP="00017CEA">
      <w:r w:rsidRPr="002136BC">
        <w:rPr>
          <w:b/>
        </w:rPr>
        <w:t>Subitem [3.2]</w:t>
      </w:r>
      <w:r w:rsidRPr="002136BC">
        <w:t xml:space="preserve"> </w:t>
      </w:r>
      <w:r>
        <w:t xml:space="preserve">replaces </w:t>
      </w:r>
      <w:r w:rsidRPr="00210A51">
        <w:t>section 2.6.2—2</w:t>
      </w:r>
      <w:r>
        <w:t xml:space="preserve"> with a new section containing three new Notes, each of which sets out the definitions of certain terms from sections 1.1.2—2, 1.1.2—3 and 1.1.2—9 respectively</w:t>
      </w:r>
      <w:r w:rsidRPr="002136BC">
        <w:t>.</w:t>
      </w:r>
    </w:p>
    <w:p w14:paraId="38EBE370" w14:textId="77777777" w:rsidR="00017CEA" w:rsidRDefault="00017CEA" w:rsidP="00017CEA"/>
    <w:p w14:paraId="4C810B24" w14:textId="77777777" w:rsidR="00017CEA" w:rsidRPr="002136BC" w:rsidRDefault="00017CEA" w:rsidP="00017CEA">
      <w:r>
        <w:t xml:space="preserve">This subitem also inserts the following Division heading </w:t>
      </w:r>
      <w:r w:rsidRPr="009A5B65">
        <w:t>after se</w:t>
      </w:r>
      <w:r>
        <w:t>ction 2.6.2—2: ‘</w:t>
      </w:r>
      <w:r w:rsidRPr="00210A51">
        <w:rPr>
          <w:b/>
        </w:rPr>
        <w:t>Division 2 Packaged water</w:t>
      </w:r>
      <w:r>
        <w:t xml:space="preserve">’. Division 2 encompasses sections 2.6.2—3 to 2.6.2—5 </w:t>
      </w:r>
      <w:r>
        <w:lastRenderedPageBreak/>
        <w:t>inclusive.</w:t>
      </w:r>
    </w:p>
    <w:p w14:paraId="0D953A8C" w14:textId="77777777" w:rsidR="00017CEA" w:rsidRDefault="00017CEA" w:rsidP="00017CEA">
      <w:pPr>
        <w:rPr>
          <w:b/>
        </w:rPr>
      </w:pPr>
    </w:p>
    <w:p w14:paraId="30F3D7DD" w14:textId="77777777" w:rsidR="00017CEA" w:rsidRPr="00546A63" w:rsidRDefault="00017CEA" w:rsidP="00017CEA">
      <w:r w:rsidRPr="002136BC">
        <w:rPr>
          <w:b/>
        </w:rPr>
        <w:t>Subitem [3.3]</w:t>
      </w:r>
      <w:r>
        <w:rPr>
          <w:b/>
        </w:rPr>
        <w:t xml:space="preserve"> </w:t>
      </w:r>
      <w:r w:rsidRPr="00546A63">
        <w:t xml:space="preserve">inserts </w:t>
      </w:r>
      <w:r>
        <w:t xml:space="preserve">the following Division heading </w:t>
      </w:r>
      <w:r w:rsidRPr="009A5B65">
        <w:t>after section 2.6.2—5</w:t>
      </w:r>
      <w:r>
        <w:t>: ‘</w:t>
      </w:r>
      <w:r w:rsidRPr="00210A51">
        <w:rPr>
          <w:b/>
        </w:rPr>
        <w:t xml:space="preserve">Division </w:t>
      </w:r>
      <w:r>
        <w:rPr>
          <w:b/>
        </w:rPr>
        <w:t>3</w:t>
      </w:r>
      <w:r w:rsidRPr="00210A51">
        <w:rPr>
          <w:b/>
        </w:rPr>
        <w:t xml:space="preserve"> </w:t>
      </w:r>
      <w:r w:rsidRPr="00546A63">
        <w:rPr>
          <w:b/>
        </w:rPr>
        <w:t>Non-alcoholic beverages and brewed soft drinks</w:t>
      </w:r>
      <w:r>
        <w:t>’. Division 3 encompasses sections 2.6.2—6 to 2.6.2—9</w:t>
      </w:r>
      <w:r w:rsidRPr="000A7369">
        <w:t xml:space="preserve"> </w:t>
      </w:r>
      <w:r>
        <w:t>inclusive.</w:t>
      </w:r>
    </w:p>
    <w:p w14:paraId="15AD0C4F" w14:textId="77777777" w:rsidR="00017CEA" w:rsidRDefault="00017CEA" w:rsidP="00017CEA">
      <w:pPr>
        <w:rPr>
          <w:b/>
        </w:rPr>
      </w:pPr>
    </w:p>
    <w:p w14:paraId="2ABDF011" w14:textId="77777777" w:rsidR="00017CEA" w:rsidRPr="002136BC" w:rsidRDefault="00017CEA" w:rsidP="00017CEA">
      <w:r w:rsidRPr="002136BC">
        <w:rPr>
          <w:b/>
        </w:rPr>
        <w:t>Subitem [3.</w:t>
      </w:r>
      <w:r>
        <w:rPr>
          <w:b/>
        </w:rPr>
        <w:t>4</w:t>
      </w:r>
      <w:r w:rsidRPr="002136BC">
        <w:rPr>
          <w:b/>
        </w:rPr>
        <w:t>]</w:t>
      </w:r>
      <w:r w:rsidRPr="002136BC">
        <w:t xml:space="preserve"> </w:t>
      </w:r>
      <w:r>
        <w:t xml:space="preserve">replaces sections 2.6.2—9 to 2.6.2—13 </w:t>
      </w:r>
      <w:r w:rsidRPr="00ED1EAD">
        <w:t>inclusive</w:t>
      </w:r>
      <w:r>
        <w:t>, with new provisions sections 2.6.2—9</w:t>
      </w:r>
      <w:r w:rsidRPr="00C27985">
        <w:t xml:space="preserve"> </w:t>
      </w:r>
      <w:r>
        <w:t>to 2.6.2—18.</w:t>
      </w:r>
    </w:p>
    <w:p w14:paraId="53AF8CF3" w14:textId="77777777" w:rsidR="00017CEA" w:rsidRPr="002136BC" w:rsidRDefault="00017CEA" w:rsidP="00017CEA"/>
    <w:p w14:paraId="10BF18C7" w14:textId="77777777" w:rsidR="00017CEA" w:rsidRDefault="00017CEA" w:rsidP="00017CEA">
      <w:r w:rsidRPr="007A3A29">
        <w:rPr>
          <w:i/>
        </w:rPr>
        <w:t>Section 2.6.2—9</w:t>
      </w:r>
      <w:r>
        <w:t xml:space="preserve"> requires that a</w:t>
      </w:r>
      <w:r w:rsidRPr="00F9292D">
        <w:t xml:space="preserve"> food sold as a formulated beverage must be a formulated beverage.</w:t>
      </w:r>
      <w:r>
        <w:t xml:space="preserve"> This is the same requirement as currently set out in section 2.6.2—13. As a formulated beverage is a non-alcoholic beverage, section 2.6.2—13 was moved up in the Standard (and renumbered accordingly) to be located with other provisions relating to n</w:t>
      </w:r>
      <w:r w:rsidRPr="007A3A29">
        <w:t>on-alcoholic beverages and brewed soft drinks</w:t>
      </w:r>
      <w:r>
        <w:t xml:space="preserve"> in Division 3 of the Standard.</w:t>
      </w:r>
    </w:p>
    <w:p w14:paraId="0E263D3F" w14:textId="77777777" w:rsidR="00017CEA" w:rsidRDefault="00017CEA" w:rsidP="00017CEA"/>
    <w:p w14:paraId="6C086124" w14:textId="77777777" w:rsidR="00017CEA" w:rsidRDefault="00017CEA" w:rsidP="00017CEA">
      <w:r>
        <w:t>This subitem also inserts the following Division heading after section 2.6.2—9: ‘</w:t>
      </w:r>
      <w:r w:rsidRPr="000A7369">
        <w:rPr>
          <w:b/>
        </w:rPr>
        <w:t>Division 4 Electrolyte drinks and electrolyte drink bases</w:t>
      </w:r>
      <w:r>
        <w:t>’. Division 4 encompasses sections 2.6.2—10 to 2.6.2—18 inclusive.</w:t>
      </w:r>
    </w:p>
    <w:p w14:paraId="18839851" w14:textId="77777777" w:rsidR="00017CEA" w:rsidRDefault="00017CEA" w:rsidP="00017CEA">
      <w:pPr>
        <w:rPr>
          <w:i/>
        </w:rPr>
      </w:pPr>
    </w:p>
    <w:p w14:paraId="0B77272F" w14:textId="77777777" w:rsidR="00017CEA" w:rsidRDefault="00017CEA" w:rsidP="00017CEA">
      <w:r w:rsidRPr="007A3A29">
        <w:rPr>
          <w:i/>
        </w:rPr>
        <w:t>Section 2.6.2—</w:t>
      </w:r>
      <w:r>
        <w:rPr>
          <w:i/>
        </w:rPr>
        <w:t>10</w:t>
      </w:r>
      <w:r>
        <w:t xml:space="preserve"> contains the following preliminary provisions applying to </w:t>
      </w:r>
      <w:r w:rsidRPr="004D2975">
        <w:t>electrolyte drink</w:t>
      </w:r>
      <w:r>
        <w:t>s</w:t>
      </w:r>
      <w:r w:rsidRPr="004D2975">
        <w:t xml:space="preserve"> </w:t>
      </w:r>
      <w:r>
        <w:t>and</w:t>
      </w:r>
      <w:r w:rsidRPr="004D2975">
        <w:t xml:space="preserve"> electrolyte drink base</w:t>
      </w:r>
      <w:r>
        <w:t>s.</w:t>
      </w:r>
    </w:p>
    <w:p w14:paraId="7526DBAF" w14:textId="77777777" w:rsidR="00017CEA" w:rsidRDefault="00017CEA" w:rsidP="00017CEA"/>
    <w:p w14:paraId="6EC6CFD1" w14:textId="77777777" w:rsidR="00017CEA" w:rsidRDefault="00017CEA" w:rsidP="00017CEA">
      <w:r>
        <w:t>Subsection 2.6.2—10(1) sets out the definition of ‘prescribed electrolyte’ for the purposes of Division 4. ‘Prescribed electrolyte’ means any of the following:</w:t>
      </w:r>
    </w:p>
    <w:p w14:paraId="5C1F7FE2" w14:textId="77777777" w:rsidR="00017CEA" w:rsidRDefault="00017CEA" w:rsidP="00017CEA"/>
    <w:p w14:paraId="3F79DDCA" w14:textId="77777777" w:rsidR="00017CEA" w:rsidRPr="00126F7D" w:rsidRDefault="00017CEA" w:rsidP="00017CEA">
      <w:pPr>
        <w:pStyle w:val="ListParagraph"/>
        <w:widowControl w:val="0"/>
        <w:numPr>
          <w:ilvl w:val="0"/>
          <w:numId w:val="9"/>
        </w:numPr>
        <w:rPr>
          <w:rFonts w:eastAsia="Times New Roman" w:cs="Times New Roman"/>
          <w:szCs w:val="24"/>
          <w:lang w:bidi="en-US"/>
        </w:rPr>
      </w:pPr>
      <w:r w:rsidRPr="00126F7D">
        <w:rPr>
          <w:rFonts w:eastAsia="Times New Roman" w:cs="Times New Roman"/>
          <w:szCs w:val="24"/>
          <w:lang w:bidi="en-US"/>
        </w:rPr>
        <w:t xml:space="preserve">sodium; </w:t>
      </w:r>
    </w:p>
    <w:p w14:paraId="413E5C4F" w14:textId="77777777" w:rsidR="00017CEA" w:rsidRPr="00126F7D" w:rsidRDefault="00017CEA" w:rsidP="00017CEA">
      <w:pPr>
        <w:pStyle w:val="ListParagraph"/>
        <w:widowControl w:val="0"/>
        <w:numPr>
          <w:ilvl w:val="0"/>
          <w:numId w:val="9"/>
        </w:numPr>
        <w:rPr>
          <w:rFonts w:eastAsia="Times New Roman" w:cs="Times New Roman"/>
          <w:szCs w:val="24"/>
          <w:lang w:bidi="en-US"/>
        </w:rPr>
      </w:pPr>
      <w:r w:rsidRPr="00126F7D">
        <w:rPr>
          <w:rFonts w:eastAsia="Times New Roman" w:cs="Times New Roman"/>
          <w:szCs w:val="24"/>
          <w:lang w:bidi="en-US"/>
        </w:rPr>
        <w:t xml:space="preserve">potassium; </w:t>
      </w:r>
    </w:p>
    <w:p w14:paraId="106818F2" w14:textId="77777777" w:rsidR="00017CEA" w:rsidRPr="00126F7D" w:rsidRDefault="00017CEA" w:rsidP="00017CEA">
      <w:pPr>
        <w:pStyle w:val="ListParagraph"/>
        <w:widowControl w:val="0"/>
        <w:numPr>
          <w:ilvl w:val="0"/>
          <w:numId w:val="9"/>
        </w:numPr>
        <w:rPr>
          <w:rFonts w:eastAsia="Times New Roman" w:cs="Times New Roman"/>
          <w:szCs w:val="24"/>
          <w:lang w:bidi="en-US"/>
        </w:rPr>
      </w:pPr>
      <w:r w:rsidRPr="00126F7D">
        <w:rPr>
          <w:rFonts w:eastAsia="Times New Roman" w:cs="Times New Roman"/>
          <w:szCs w:val="24"/>
          <w:lang w:bidi="en-US"/>
        </w:rPr>
        <w:t>calcium;</w:t>
      </w:r>
    </w:p>
    <w:p w14:paraId="0491B204" w14:textId="77777777" w:rsidR="00017CEA" w:rsidRPr="00126F7D" w:rsidRDefault="00017CEA" w:rsidP="00017CEA">
      <w:pPr>
        <w:pStyle w:val="ListParagraph"/>
        <w:widowControl w:val="0"/>
        <w:numPr>
          <w:ilvl w:val="0"/>
          <w:numId w:val="9"/>
        </w:numPr>
        <w:rPr>
          <w:rFonts w:eastAsia="Times New Roman" w:cs="Times New Roman"/>
          <w:szCs w:val="24"/>
          <w:lang w:bidi="en-US"/>
        </w:rPr>
      </w:pPr>
      <w:r w:rsidRPr="00126F7D">
        <w:rPr>
          <w:rFonts w:eastAsia="Times New Roman" w:cs="Times New Roman"/>
          <w:szCs w:val="24"/>
          <w:lang w:bidi="en-US"/>
        </w:rPr>
        <w:t xml:space="preserve">magnesium; </w:t>
      </w:r>
    </w:p>
    <w:p w14:paraId="6466FC79" w14:textId="77777777" w:rsidR="00017CEA" w:rsidRPr="00FF4F1D" w:rsidRDefault="00017CEA" w:rsidP="00017CEA">
      <w:pPr>
        <w:pStyle w:val="ListParagraph"/>
        <w:widowControl w:val="0"/>
        <w:numPr>
          <w:ilvl w:val="0"/>
          <w:numId w:val="9"/>
        </w:numPr>
        <w:jc w:val="both"/>
        <w:rPr>
          <w:rFonts w:eastAsia="Times New Roman" w:cs="Times New Roman"/>
          <w:b/>
          <w:szCs w:val="24"/>
          <w:lang w:bidi="en-US"/>
        </w:rPr>
      </w:pPr>
      <w:r w:rsidRPr="00FF4F1D">
        <w:rPr>
          <w:rFonts w:eastAsia="Times New Roman" w:cs="Times New Roman"/>
          <w:szCs w:val="24"/>
          <w:lang w:bidi="en-US"/>
        </w:rPr>
        <w:t>chloride.</w:t>
      </w:r>
    </w:p>
    <w:p w14:paraId="5DF09090" w14:textId="77777777" w:rsidR="00017CEA" w:rsidRDefault="00017CEA" w:rsidP="00017CEA">
      <w:pPr>
        <w:jc w:val="both"/>
      </w:pPr>
    </w:p>
    <w:p w14:paraId="70E6BFA6" w14:textId="77777777" w:rsidR="00017CEA" w:rsidRDefault="00017CEA" w:rsidP="00017CEA">
      <w:pPr>
        <w:jc w:val="both"/>
      </w:pPr>
      <w:r w:rsidRPr="00F55AB9">
        <w:t>This definition has been provided because some of the substances listed as ‘prescribed electrolytes’ for the purposes of Division 4 are also ‘minerals’ for the purposes of requirements elsewhere in the Code.</w:t>
      </w:r>
    </w:p>
    <w:p w14:paraId="5F532D40" w14:textId="77777777" w:rsidR="00017CEA" w:rsidRDefault="00017CEA" w:rsidP="00017CEA">
      <w:pPr>
        <w:jc w:val="both"/>
      </w:pPr>
    </w:p>
    <w:p w14:paraId="14FBEA76" w14:textId="77777777" w:rsidR="00017CEA" w:rsidRPr="00126F7D" w:rsidRDefault="00017CEA" w:rsidP="00017CEA">
      <w:pPr>
        <w:jc w:val="both"/>
        <w:rPr>
          <w:b/>
        </w:rPr>
      </w:pPr>
      <w:r>
        <w:t>Subsection 2.6.2—10(2) clarifies that f</w:t>
      </w:r>
      <w:r w:rsidRPr="00E23F7A">
        <w:t xml:space="preserve">or an electrolyte drink base, the compositional and declaration requirements </w:t>
      </w:r>
      <w:r w:rsidRPr="00054FA4">
        <w:t>in this Division</w:t>
      </w:r>
      <w:r w:rsidRPr="00E23F7A">
        <w:t xml:space="preserve"> apply to </w:t>
      </w:r>
      <w:r>
        <w:t>the</w:t>
      </w:r>
      <w:r w:rsidRPr="00E23F7A">
        <w:t xml:space="preserve"> electrolyte drink base as </w:t>
      </w:r>
      <w:r w:rsidRPr="00E23F7A">
        <w:rPr>
          <w:u w:val="single"/>
        </w:rPr>
        <w:t>ready to drink</w:t>
      </w:r>
      <w:r>
        <w:t>.</w:t>
      </w:r>
    </w:p>
    <w:p w14:paraId="1F5E6E29" w14:textId="77777777" w:rsidR="00017CEA" w:rsidRDefault="00017CEA" w:rsidP="00017CEA">
      <w:pPr>
        <w:jc w:val="both"/>
        <w:rPr>
          <w:b/>
          <w:i/>
        </w:rPr>
      </w:pPr>
    </w:p>
    <w:p w14:paraId="04B4E4B4" w14:textId="77777777" w:rsidR="00017CEA" w:rsidRPr="004D2975" w:rsidRDefault="00017CEA" w:rsidP="00017CEA">
      <w:pPr>
        <w:jc w:val="both"/>
      </w:pPr>
      <w:r w:rsidRPr="004D2975">
        <w:rPr>
          <w:i/>
        </w:rPr>
        <w:t>Section 2.6.2—11</w:t>
      </w:r>
      <w:r>
        <w:t xml:space="preserve"> sets out the following c</w:t>
      </w:r>
      <w:r w:rsidRPr="004D2975">
        <w:t>omposition</w:t>
      </w:r>
      <w:r>
        <w:t>al requirements for</w:t>
      </w:r>
      <w:r w:rsidRPr="004D2975">
        <w:t xml:space="preserve"> electrolyte drink</w:t>
      </w:r>
      <w:r>
        <w:t>s</w:t>
      </w:r>
      <w:r w:rsidRPr="004D2975">
        <w:t xml:space="preserve"> </w:t>
      </w:r>
      <w:r>
        <w:t>and</w:t>
      </w:r>
      <w:r w:rsidRPr="004D2975">
        <w:t xml:space="preserve"> electrolyte drink base</w:t>
      </w:r>
      <w:r>
        <w:t>s.</w:t>
      </w:r>
    </w:p>
    <w:p w14:paraId="2AB67DA5" w14:textId="77777777" w:rsidR="00017CEA" w:rsidRPr="007F67C6" w:rsidRDefault="00017CEA" w:rsidP="00017CEA">
      <w:pPr>
        <w:jc w:val="both"/>
      </w:pPr>
    </w:p>
    <w:p w14:paraId="35FEFBE2" w14:textId="77777777" w:rsidR="00017CEA" w:rsidRPr="007F67C6" w:rsidRDefault="00017CEA" w:rsidP="00017CEA">
      <w:pPr>
        <w:jc w:val="both"/>
      </w:pPr>
      <w:r>
        <w:t>Subsection 2.6.2—11(1) requires that a</w:t>
      </w:r>
      <w:r w:rsidRPr="00C30741">
        <w:t xml:space="preserve"> food sold as an electrolyte drink or an electrolyte drink base </w:t>
      </w:r>
      <w:r>
        <w:t>must</w:t>
      </w:r>
      <w:r w:rsidRPr="00C30741">
        <w:t xml:space="preserve"> be an electrolyte drink or an electrolyte drink base</w:t>
      </w:r>
      <w:r>
        <w:t xml:space="preserve"> respectively</w:t>
      </w:r>
      <w:r w:rsidRPr="00C30741">
        <w:t>.</w:t>
      </w:r>
    </w:p>
    <w:p w14:paraId="1211D7E2" w14:textId="77777777" w:rsidR="00017CEA" w:rsidRPr="007F67C6" w:rsidRDefault="00017CEA" w:rsidP="00017CEA">
      <w:pPr>
        <w:jc w:val="both"/>
      </w:pPr>
    </w:p>
    <w:p w14:paraId="5193B737" w14:textId="77777777" w:rsidR="00017CEA" w:rsidRPr="008B0E9E" w:rsidRDefault="00017CEA" w:rsidP="00017CEA">
      <w:pPr>
        <w:jc w:val="both"/>
      </w:pPr>
      <w:r>
        <w:t>Subsection 2.6.2—11(2) requires that a</w:t>
      </w:r>
      <w:r w:rsidRPr="008B0E9E">
        <w:t>n electrolyte drink or electrolyte drink base must contain:</w:t>
      </w:r>
    </w:p>
    <w:p w14:paraId="2AE8A913" w14:textId="77777777" w:rsidR="00017CEA" w:rsidRPr="008B0E9E" w:rsidRDefault="00017CEA" w:rsidP="00017CEA">
      <w:pPr>
        <w:pStyle w:val="ListParagraph"/>
        <w:numPr>
          <w:ilvl w:val="0"/>
          <w:numId w:val="10"/>
        </w:numPr>
        <w:jc w:val="both"/>
        <w:rPr>
          <w:rFonts w:eastAsia="Times New Roman" w:cs="Times New Roman"/>
          <w:szCs w:val="24"/>
          <w:lang w:bidi="en-US"/>
        </w:rPr>
      </w:pPr>
      <w:r w:rsidRPr="008B0E9E">
        <w:rPr>
          <w:rFonts w:eastAsia="Times New Roman" w:cs="Times New Roman"/>
          <w:szCs w:val="24"/>
          <w:lang w:bidi="en-US"/>
        </w:rPr>
        <w:t>no less than 10 mmol/L of sodium; and</w:t>
      </w:r>
    </w:p>
    <w:p w14:paraId="3AAB0D8D" w14:textId="77777777" w:rsidR="00017CEA" w:rsidRPr="008B0E9E" w:rsidRDefault="00017CEA" w:rsidP="00017CEA">
      <w:pPr>
        <w:pStyle w:val="ListParagraph"/>
        <w:numPr>
          <w:ilvl w:val="0"/>
          <w:numId w:val="10"/>
        </w:numPr>
        <w:jc w:val="both"/>
        <w:rPr>
          <w:rFonts w:eastAsia="Times New Roman" w:cs="Times New Roman"/>
          <w:szCs w:val="24"/>
          <w:lang w:bidi="en-US"/>
        </w:rPr>
      </w:pPr>
      <w:r w:rsidRPr="008B0E9E">
        <w:rPr>
          <w:rFonts w:eastAsia="Times New Roman" w:cs="Times New Roman"/>
          <w:szCs w:val="24"/>
          <w:lang w:bidi="en-US"/>
        </w:rPr>
        <w:t>no less than 20 g/L and no more than 100 g/L in total of the following:</w:t>
      </w:r>
    </w:p>
    <w:p w14:paraId="4F33B748" w14:textId="77777777" w:rsidR="00017CEA" w:rsidRPr="008B0E9E" w:rsidRDefault="00017CEA" w:rsidP="00017CEA">
      <w:pPr>
        <w:pStyle w:val="ListParagraph"/>
        <w:numPr>
          <w:ilvl w:val="0"/>
          <w:numId w:val="12"/>
        </w:numPr>
        <w:jc w:val="both"/>
        <w:rPr>
          <w:rFonts w:eastAsia="Times New Roman" w:cs="Times New Roman"/>
          <w:szCs w:val="24"/>
          <w:lang w:bidi="en-US"/>
        </w:rPr>
      </w:pPr>
      <w:r w:rsidRPr="008B0E9E">
        <w:rPr>
          <w:rFonts w:eastAsia="Times New Roman" w:cs="Times New Roman"/>
          <w:szCs w:val="24"/>
          <w:lang w:bidi="en-US"/>
        </w:rPr>
        <w:t>dextrose;</w:t>
      </w:r>
    </w:p>
    <w:p w14:paraId="0E0B35ED" w14:textId="77777777" w:rsidR="00017CEA" w:rsidRPr="008B0E9E" w:rsidRDefault="00017CEA" w:rsidP="00017CEA">
      <w:pPr>
        <w:pStyle w:val="ListParagraph"/>
        <w:numPr>
          <w:ilvl w:val="0"/>
          <w:numId w:val="12"/>
        </w:numPr>
        <w:jc w:val="both"/>
        <w:rPr>
          <w:rFonts w:eastAsia="Times New Roman" w:cs="Times New Roman"/>
          <w:szCs w:val="24"/>
          <w:lang w:bidi="en-US"/>
        </w:rPr>
      </w:pPr>
      <w:r w:rsidRPr="008B0E9E">
        <w:rPr>
          <w:rFonts w:eastAsia="Times New Roman" w:cs="Times New Roman"/>
          <w:szCs w:val="24"/>
          <w:lang w:bidi="en-US"/>
        </w:rPr>
        <w:lastRenderedPageBreak/>
        <w:t>fructose;</w:t>
      </w:r>
    </w:p>
    <w:p w14:paraId="5F2086BC" w14:textId="77777777" w:rsidR="00017CEA" w:rsidRPr="008B0E9E" w:rsidRDefault="00017CEA" w:rsidP="00017CEA">
      <w:pPr>
        <w:pStyle w:val="ListParagraph"/>
        <w:numPr>
          <w:ilvl w:val="0"/>
          <w:numId w:val="12"/>
        </w:numPr>
        <w:jc w:val="both"/>
        <w:rPr>
          <w:rFonts w:eastAsia="Times New Roman" w:cs="Times New Roman"/>
          <w:szCs w:val="24"/>
          <w:lang w:bidi="en-US"/>
        </w:rPr>
      </w:pPr>
      <w:r w:rsidRPr="008B0E9E">
        <w:rPr>
          <w:rFonts w:eastAsia="Times New Roman" w:cs="Times New Roman"/>
          <w:szCs w:val="24"/>
          <w:lang w:bidi="en-US"/>
        </w:rPr>
        <w:t>glucose syrup;</w:t>
      </w:r>
    </w:p>
    <w:p w14:paraId="7DDDB8A1" w14:textId="77777777" w:rsidR="00017CEA" w:rsidRPr="008B0E9E" w:rsidRDefault="00017CEA" w:rsidP="00017CEA">
      <w:pPr>
        <w:pStyle w:val="ListParagraph"/>
        <w:numPr>
          <w:ilvl w:val="0"/>
          <w:numId w:val="12"/>
        </w:numPr>
        <w:jc w:val="both"/>
        <w:rPr>
          <w:rFonts w:eastAsia="Times New Roman" w:cs="Times New Roman"/>
          <w:szCs w:val="24"/>
          <w:lang w:bidi="en-US"/>
        </w:rPr>
      </w:pPr>
      <w:r w:rsidRPr="008B0E9E">
        <w:rPr>
          <w:rFonts w:eastAsia="Times New Roman" w:cs="Times New Roman"/>
          <w:szCs w:val="24"/>
          <w:lang w:bidi="en-US"/>
        </w:rPr>
        <w:t>maltodextrin;</w:t>
      </w:r>
    </w:p>
    <w:p w14:paraId="3E00ECA1" w14:textId="77777777" w:rsidR="00017CEA" w:rsidRPr="008B0E9E" w:rsidRDefault="00017CEA" w:rsidP="00017CEA">
      <w:pPr>
        <w:pStyle w:val="ListParagraph"/>
        <w:numPr>
          <w:ilvl w:val="0"/>
          <w:numId w:val="12"/>
        </w:numPr>
        <w:jc w:val="both"/>
        <w:rPr>
          <w:rFonts w:eastAsia="Times New Roman" w:cs="Times New Roman"/>
          <w:szCs w:val="24"/>
          <w:lang w:bidi="en-US"/>
        </w:rPr>
      </w:pPr>
      <w:r w:rsidRPr="008B0E9E">
        <w:rPr>
          <w:rFonts w:eastAsia="Times New Roman" w:cs="Times New Roman"/>
          <w:szCs w:val="24"/>
          <w:lang w:bidi="en-US"/>
        </w:rPr>
        <w:t>sucrose; and</w:t>
      </w:r>
    </w:p>
    <w:p w14:paraId="4482A4F2" w14:textId="77777777" w:rsidR="00017CEA" w:rsidRPr="008B0E9E" w:rsidRDefault="00017CEA" w:rsidP="00017CEA">
      <w:pPr>
        <w:pStyle w:val="ListParagraph"/>
        <w:numPr>
          <w:ilvl w:val="0"/>
          <w:numId w:val="11"/>
        </w:numPr>
        <w:ind w:left="567" w:hanging="283"/>
        <w:jc w:val="both"/>
        <w:rPr>
          <w:rFonts w:eastAsia="Times New Roman" w:cs="Times New Roman"/>
          <w:szCs w:val="24"/>
          <w:lang w:bidi="en-US"/>
        </w:rPr>
      </w:pPr>
      <w:r w:rsidRPr="008B0E9E">
        <w:rPr>
          <w:rFonts w:eastAsia="Times New Roman" w:cs="Times New Roman"/>
          <w:szCs w:val="24"/>
          <w:lang w:bidi="en-US"/>
        </w:rPr>
        <w:t>no more than 20 g/L fructose.</w:t>
      </w:r>
    </w:p>
    <w:p w14:paraId="62FEA430" w14:textId="77777777" w:rsidR="00017CEA" w:rsidRPr="007F67C6" w:rsidRDefault="00017CEA" w:rsidP="00017CEA">
      <w:pPr>
        <w:jc w:val="both"/>
      </w:pPr>
    </w:p>
    <w:p w14:paraId="5DEDC231" w14:textId="77777777" w:rsidR="00017CEA" w:rsidRDefault="00017CEA" w:rsidP="00017CEA">
      <w:pPr>
        <w:jc w:val="both"/>
      </w:pPr>
      <w:r>
        <w:t>Subsection 2.6.2—11(3) allows a</w:t>
      </w:r>
      <w:r w:rsidRPr="008B0E9E">
        <w:t xml:space="preserve">n electrolyte drink or electrolyte drink base </w:t>
      </w:r>
      <w:r>
        <w:t>to</w:t>
      </w:r>
      <w:r w:rsidRPr="008B0E9E">
        <w:t xml:space="preserve"> contain:</w:t>
      </w:r>
    </w:p>
    <w:p w14:paraId="053FBC34" w14:textId="77777777" w:rsidR="00017CEA" w:rsidRDefault="00017CEA" w:rsidP="00017CEA">
      <w:pPr>
        <w:jc w:val="both"/>
      </w:pPr>
    </w:p>
    <w:p w14:paraId="7923C7AA" w14:textId="77777777" w:rsidR="00017CEA" w:rsidRPr="00CE35E7" w:rsidRDefault="00017CEA" w:rsidP="00017CEA">
      <w:pPr>
        <w:pStyle w:val="ListParagraph"/>
        <w:numPr>
          <w:ilvl w:val="0"/>
          <w:numId w:val="13"/>
        </w:numPr>
        <w:jc w:val="both"/>
        <w:rPr>
          <w:rFonts w:eastAsia="Times New Roman" w:cs="Times New Roman"/>
          <w:szCs w:val="24"/>
          <w:lang w:bidi="en-US"/>
        </w:rPr>
      </w:pPr>
      <w:r w:rsidRPr="00CE35E7">
        <w:rPr>
          <w:rFonts w:eastAsia="Times New Roman" w:cs="Times New Roman"/>
          <w:szCs w:val="24"/>
          <w:lang w:bidi="en-US"/>
        </w:rPr>
        <w:t>calcium phosphates;</w:t>
      </w:r>
    </w:p>
    <w:p w14:paraId="6CAFCE79" w14:textId="77777777" w:rsidR="00017CEA" w:rsidRPr="00CE35E7" w:rsidRDefault="00017CEA" w:rsidP="00017CEA">
      <w:pPr>
        <w:pStyle w:val="ListParagraph"/>
        <w:numPr>
          <w:ilvl w:val="0"/>
          <w:numId w:val="13"/>
        </w:numPr>
        <w:jc w:val="both"/>
        <w:rPr>
          <w:rFonts w:eastAsia="Times New Roman" w:cs="Times New Roman"/>
          <w:szCs w:val="24"/>
          <w:lang w:bidi="en-US"/>
        </w:rPr>
      </w:pPr>
      <w:r w:rsidRPr="00CE35E7">
        <w:rPr>
          <w:rFonts w:eastAsia="Times New Roman" w:cs="Times New Roman"/>
          <w:szCs w:val="24"/>
          <w:lang w:bidi="en-US"/>
        </w:rPr>
        <w:t>potassium phosphates;</w:t>
      </w:r>
    </w:p>
    <w:p w14:paraId="2F90F2C4" w14:textId="77777777" w:rsidR="00017CEA" w:rsidRPr="00CE35E7" w:rsidRDefault="00017CEA" w:rsidP="00017CEA">
      <w:pPr>
        <w:pStyle w:val="ListParagraph"/>
        <w:numPr>
          <w:ilvl w:val="0"/>
          <w:numId w:val="13"/>
        </w:numPr>
        <w:jc w:val="both"/>
        <w:rPr>
          <w:rFonts w:eastAsia="Times New Roman" w:cs="Times New Roman"/>
          <w:szCs w:val="24"/>
          <w:lang w:bidi="en-US"/>
        </w:rPr>
      </w:pPr>
      <w:r w:rsidRPr="00CE35E7">
        <w:rPr>
          <w:rFonts w:eastAsia="Times New Roman" w:cs="Times New Roman"/>
          <w:szCs w:val="24"/>
          <w:lang w:bidi="en-US"/>
        </w:rPr>
        <w:t>calcium citrates;</w:t>
      </w:r>
    </w:p>
    <w:p w14:paraId="66BE17F3" w14:textId="77777777" w:rsidR="00017CEA" w:rsidRPr="00CE35E7" w:rsidRDefault="00017CEA" w:rsidP="00017CEA">
      <w:pPr>
        <w:pStyle w:val="ListParagraph"/>
        <w:numPr>
          <w:ilvl w:val="0"/>
          <w:numId w:val="13"/>
        </w:numPr>
        <w:jc w:val="both"/>
        <w:rPr>
          <w:rFonts w:eastAsia="Times New Roman" w:cs="Times New Roman"/>
          <w:szCs w:val="24"/>
          <w:lang w:bidi="en-US"/>
        </w:rPr>
      </w:pPr>
      <w:r w:rsidRPr="00CE35E7">
        <w:rPr>
          <w:rFonts w:eastAsia="Times New Roman" w:cs="Times New Roman"/>
          <w:szCs w:val="24"/>
          <w:lang w:bidi="en-US"/>
        </w:rPr>
        <w:t>potassium citrates;</w:t>
      </w:r>
    </w:p>
    <w:p w14:paraId="25A9C1CF" w14:textId="77777777" w:rsidR="00017CEA" w:rsidRPr="00CE35E7" w:rsidRDefault="00017CEA" w:rsidP="00017CEA">
      <w:pPr>
        <w:pStyle w:val="ListParagraph"/>
        <w:numPr>
          <w:ilvl w:val="0"/>
          <w:numId w:val="13"/>
        </w:numPr>
        <w:jc w:val="both"/>
        <w:rPr>
          <w:rFonts w:eastAsia="Times New Roman" w:cs="Times New Roman"/>
          <w:szCs w:val="24"/>
          <w:lang w:bidi="en-US"/>
        </w:rPr>
      </w:pPr>
      <w:r w:rsidRPr="00CE35E7">
        <w:rPr>
          <w:rFonts w:eastAsia="Times New Roman" w:cs="Times New Roman"/>
          <w:szCs w:val="24"/>
          <w:lang w:bidi="en-US"/>
        </w:rPr>
        <w:t>sodium citrates;</w:t>
      </w:r>
    </w:p>
    <w:p w14:paraId="7C7CF7B0" w14:textId="77777777" w:rsidR="00017CEA" w:rsidRPr="00CE35E7" w:rsidRDefault="00017CEA" w:rsidP="00017CEA">
      <w:pPr>
        <w:pStyle w:val="ListParagraph"/>
        <w:numPr>
          <w:ilvl w:val="0"/>
          <w:numId w:val="13"/>
        </w:numPr>
        <w:jc w:val="both"/>
        <w:rPr>
          <w:rFonts w:eastAsia="Times New Roman" w:cs="Times New Roman"/>
          <w:szCs w:val="24"/>
          <w:lang w:bidi="en-US"/>
        </w:rPr>
      </w:pPr>
      <w:r w:rsidRPr="00CE35E7">
        <w:rPr>
          <w:rFonts w:eastAsia="Times New Roman" w:cs="Times New Roman"/>
          <w:szCs w:val="24"/>
          <w:lang w:bidi="en-US"/>
        </w:rPr>
        <w:t>potassium carbonates, including potassium bicarbonate;</w:t>
      </w:r>
    </w:p>
    <w:p w14:paraId="613724CE" w14:textId="77777777" w:rsidR="00017CEA" w:rsidRPr="00CE35E7" w:rsidRDefault="00017CEA" w:rsidP="00017CEA">
      <w:pPr>
        <w:pStyle w:val="ListParagraph"/>
        <w:numPr>
          <w:ilvl w:val="0"/>
          <w:numId w:val="13"/>
        </w:numPr>
        <w:jc w:val="both"/>
        <w:rPr>
          <w:rFonts w:eastAsia="Times New Roman" w:cs="Times New Roman"/>
          <w:szCs w:val="24"/>
          <w:lang w:bidi="en-US"/>
        </w:rPr>
      </w:pPr>
      <w:r w:rsidRPr="00CE35E7">
        <w:rPr>
          <w:rFonts w:eastAsia="Times New Roman" w:cs="Times New Roman"/>
          <w:szCs w:val="24"/>
          <w:lang w:bidi="en-US"/>
        </w:rPr>
        <w:t>potassium chloride;</w:t>
      </w:r>
    </w:p>
    <w:p w14:paraId="1B8BD512" w14:textId="77777777" w:rsidR="00017CEA" w:rsidRPr="00CE35E7" w:rsidRDefault="00017CEA" w:rsidP="00017CEA">
      <w:pPr>
        <w:pStyle w:val="ListParagraph"/>
        <w:numPr>
          <w:ilvl w:val="0"/>
          <w:numId w:val="13"/>
        </w:numPr>
        <w:jc w:val="both"/>
        <w:rPr>
          <w:rFonts w:eastAsia="Times New Roman" w:cs="Times New Roman"/>
          <w:szCs w:val="24"/>
          <w:lang w:bidi="en-US"/>
        </w:rPr>
      </w:pPr>
      <w:r w:rsidRPr="00CE35E7">
        <w:rPr>
          <w:rFonts w:eastAsia="Times New Roman" w:cs="Times New Roman"/>
          <w:szCs w:val="24"/>
          <w:lang w:bidi="en-US"/>
        </w:rPr>
        <w:t>calcium chloride;</w:t>
      </w:r>
    </w:p>
    <w:p w14:paraId="5E79CC09" w14:textId="77777777" w:rsidR="00017CEA" w:rsidRPr="00CE35E7" w:rsidRDefault="00017CEA" w:rsidP="00017CEA">
      <w:pPr>
        <w:pStyle w:val="ListParagraph"/>
        <w:numPr>
          <w:ilvl w:val="0"/>
          <w:numId w:val="13"/>
        </w:numPr>
        <w:jc w:val="both"/>
        <w:rPr>
          <w:rFonts w:eastAsia="Times New Roman" w:cs="Times New Roman"/>
          <w:szCs w:val="24"/>
          <w:lang w:bidi="en-US"/>
        </w:rPr>
      </w:pPr>
      <w:r w:rsidRPr="00CE35E7">
        <w:rPr>
          <w:rFonts w:eastAsia="Times New Roman" w:cs="Times New Roman"/>
          <w:szCs w:val="24"/>
          <w:lang w:bidi="en-US"/>
        </w:rPr>
        <w:t>sodium chloride;</w:t>
      </w:r>
    </w:p>
    <w:p w14:paraId="01954D77" w14:textId="77777777" w:rsidR="00017CEA" w:rsidRPr="00CE35E7" w:rsidRDefault="00017CEA" w:rsidP="00017CEA">
      <w:pPr>
        <w:pStyle w:val="ListParagraph"/>
        <w:numPr>
          <w:ilvl w:val="0"/>
          <w:numId w:val="13"/>
        </w:numPr>
        <w:jc w:val="both"/>
        <w:rPr>
          <w:rFonts w:eastAsia="Times New Roman" w:cs="Times New Roman"/>
          <w:szCs w:val="24"/>
          <w:lang w:bidi="en-US"/>
        </w:rPr>
      </w:pPr>
      <w:r w:rsidRPr="00CE35E7">
        <w:rPr>
          <w:rFonts w:eastAsia="Times New Roman" w:cs="Times New Roman"/>
          <w:szCs w:val="24"/>
          <w:lang w:bidi="en-US"/>
        </w:rPr>
        <w:t>calcium lactate;</w:t>
      </w:r>
    </w:p>
    <w:p w14:paraId="57C979B0" w14:textId="77777777" w:rsidR="00017CEA" w:rsidRPr="00CE35E7" w:rsidRDefault="00017CEA" w:rsidP="00017CEA">
      <w:pPr>
        <w:pStyle w:val="ListParagraph"/>
        <w:numPr>
          <w:ilvl w:val="0"/>
          <w:numId w:val="13"/>
        </w:numPr>
        <w:jc w:val="both"/>
        <w:rPr>
          <w:rFonts w:eastAsia="Times New Roman" w:cs="Times New Roman"/>
          <w:szCs w:val="24"/>
          <w:lang w:bidi="en-US"/>
        </w:rPr>
      </w:pPr>
      <w:r w:rsidRPr="00CE35E7">
        <w:rPr>
          <w:rFonts w:eastAsia="Times New Roman" w:cs="Times New Roman"/>
          <w:szCs w:val="24"/>
          <w:lang w:bidi="en-US"/>
        </w:rPr>
        <w:t>magnesium lactate;</w:t>
      </w:r>
    </w:p>
    <w:p w14:paraId="674E3C43" w14:textId="77777777" w:rsidR="00017CEA" w:rsidRDefault="00017CEA" w:rsidP="00017CEA">
      <w:pPr>
        <w:pStyle w:val="ListParagraph"/>
        <w:numPr>
          <w:ilvl w:val="0"/>
          <w:numId w:val="13"/>
        </w:numPr>
        <w:jc w:val="both"/>
        <w:rPr>
          <w:rFonts w:eastAsia="Times New Roman" w:cs="Times New Roman"/>
          <w:szCs w:val="24"/>
          <w:lang w:bidi="en-US"/>
        </w:rPr>
      </w:pPr>
      <w:r w:rsidRPr="00CE35E7">
        <w:rPr>
          <w:rFonts w:eastAsia="Times New Roman" w:cs="Times New Roman"/>
          <w:szCs w:val="24"/>
          <w:lang w:bidi="en-US"/>
        </w:rPr>
        <w:t>magnesium sulphate.</w:t>
      </w:r>
    </w:p>
    <w:p w14:paraId="3F6ACE27" w14:textId="77777777" w:rsidR="00017CEA" w:rsidRDefault="00017CEA" w:rsidP="00017CEA">
      <w:pPr>
        <w:jc w:val="both"/>
        <w:rPr>
          <w:i/>
        </w:rPr>
      </w:pPr>
    </w:p>
    <w:p w14:paraId="7F7372A6" w14:textId="77777777" w:rsidR="00017CEA" w:rsidRDefault="00017CEA" w:rsidP="00017CEA">
      <w:pPr>
        <w:jc w:val="both"/>
      </w:pPr>
      <w:r w:rsidRPr="004D2975">
        <w:rPr>
          <w:i/>
        </w:rPr>
        <w:t>Section 2.6.2—1</w:t>
      </w:r>
      <w:r>
        <w:rPr>
          <w:i/>
        </w:rPr>
        <w:t xml:space="preserve">2 </w:t>
      </w:r>
      <w:r>
        <w:t>sets out the following l</w:t>
      </w:r>
      <w:r w:rsidRPr="00814B49">
        <w:t xml:space="preserve">abelling </w:t>
      </w:r>
      <w:r>
        <w:t>requirements for</w:t>
      </w:r>
      <w:r w:rsidRPr="00814B49">
        <w:t xml:space="preserve"> electrolyte drinks and electrolyte drink bases</w:t>
      </w:r>
      <w:r>
        <w:t>.</w:t>
      </w:r>
    </w:p>
    <w:p w14:paraId="0B024B43" w14:textId="77777777" w:rsidR="00017CEA" w:rsidRDefault="00017CEA" w:rsidP="00017CEA">
      <w:pPr>
        <w:jc w:val="both"/>
      </w:pPr>
    </w:p>
    <w:p w14:paraId="720DEDAD" w14:textId="77777777" w:rsidR="00017CEA" w:rsidRDefault="00017CEA" w:rsidP="00017CEA">
      <w:pPr>
        <w:jc w:val="both"/>
      </w:pPr>
      <w:r>
        <w:t xml:space="preserve">Subsection 2.6.2—12(1) provides that ‘Electrolyte drink’ is a </w:t>
      </w:r>
      <w:r w:rsidRPr="0040393F">
        <w:t>prescribed name for an electrolyte drink and an electrolyte drink base.</w:t>
      </w:r>
      <w:r>
        <w:t xml:space="preserve"> </w:t>
      </w:r>
    </w:p>
    <w:p w14:paraId="1B6409B9" w14:textId="77777777" w:rsidR="00017CEA" w:rsidRDefault="00017CEA" w:rsidP="00017CEA">
      <w:pPr>
        <w:jc w:val="both"/>
      </w:pPr>
    </w:p>
    <w:p w14:paraId="67D5CC0E" w14:textId="77777777" w:rsidR="00017CEA" w:rsidRPr="00281ADC" w:rsidRDefault="00017CEA" w:rsidP="00017CEA">
      <w:pPr>
        <w:jc w:val="both"/>
      </w:pPr>
      <w:r w:rsidRPr="00281ADC">
        <w:t xml:space="preserve">The ‘prescribed name’ of a food is a term defined in subsection 1.2.1—2(3) [see subitem 3.2 of the amended draft variation]. </w:t>
      </w:r>
      <w:r w:rsidRPr="00281ADC">
        <w:rPr>
          <w:szCs w:val="16"/>
          <w:lang w:eastAsia="en-GB"/>
        </w:rPr>
        <w:t>The labelling provisions in Standard 1.2.1 and section 1.2.2—2 provide that, if a food has a prescribed name, that name must be used in the labelling of the food.</w:t>
      </w:r>
    </w:p>
    <w:p w14:paraId="10022ABA" w14:textId="77777777" w:rsidR="00017CEA" w:rsidRDefault="00017CEA" w:rsidP="00017CEA">
      <w:pPr>
        <w:jc w:val="both"/>
      </w:pPr>
    </w:p>
    <w:p w14:paraId="3E2DDBCA" w14:textId="77777777" w:rsidR="00017CEA" w:rsidRDefault="00017CEA" w:rsidP="00017CEA">
      <w:pPr>
        <w:jc w:val="both"/>
      </w:pPr>
      <w:r>
        <w:t>Subsection 2.6.2—12(2) requires the following information to be provided for the labelling provisions:</w:t>
      </w:r>
    </w:p>
    <w:p w14:paraId="0055B365" w14:textId="77777777" w:rsidR="00017CEA" w:rsidRDefault="00017CEA" w:rsidP="00017CEA">
      <w:pPr>
        <w:jc w:val="both"/>
      </w:pPr>
    </w:p>
    <w:p w14:paraId="72CFE974" w14:textId="77777777" w:rsidR="00017CEA" w:rsidRPr="000E27F6" w:rsidRDefault="00017CEA" w:rsidP="00017CEA">
      <w:pPr>
        <w:pStyle w:val="ListParagraph"/>
        <w:numPr>
          <w:ilvl w:val="0"/>
          <w:numId w:val="14"/>
        </w:numPr>
        <w:jc w:val="both"/>
        <w:rPr>
          <w:rFonts w:eastAsia="Times New Roman" w:cs="Times New Roman"/>
          <w:szCs w:val="24"/>
          <w:lang w:bidi="en-US"/>
        </w:rPr>
      </w:pPr>
      <w:r w:rsidRPr="00C04323">
        <w:rPr>
          <w:rFonts w:eastAsia="Times New Roman" w:cs="Times New Roman"/>
          <w:szCs w:val="24"/>
          <w:lang w:bidi="en-US"/>
        </w:rPr>
        <w:t>the recommended volume and frequency of use</w:t>
      </w:r>
      <w:r>
        <w:rPr>
          <w:rFonts w:eastAsia="Times New Roman" w:cs="Times New Roman"/>
          <w:szCs w:val="24"/>
          <w:lang w:bidi="en-US"/>
        </w:rPr>
        <w:t xml:space="preserve"> </w:t>
      </w:r>
      <w:r w:rsidRPr="000E27F6">
        <w:rPr>
          <w:rFonts w:eastAsia="Times New Roman" w:cs="Times New Roman"/>
          <w:szCs w:val="24"/>
          <w:lang w:bidi="en-US"/>
        </w:rPr>
        <w:t>(paragraph 2.6.2—12(2)(a)); and</w:t>
      </w:r>
    </w:p>
    <w:p w14:paraId="2D3BF716" w14:textId="77777777" w:rsidR="00017CEA" w:rsidRPr="000E27F6" w:rsidRDefault="00017CEA" w:rsidP="00017CEA">
      <w:pPr>
        <w:pStyle w:val="ListParagraph"/>
        <w:numPr>
          <w:ilvl w:val="0"/>
          <w:numId w:val="14"/>
        </w:numPr>
        <w:jc w:val="both"/>
        <w:rPr>
          <w:rFonts w:eastAsia="Times New Roman" w:cs="Times New Roman"/>
          <w:szCs w:val="24"/>
          <w:lang w:bidi="en-US"/>
        </w:rPr>
      </w:pPr>
      <w:r w:rsidRPr="000E27F6">
        <w:rPr>
          <w:rFonts w:eastAsia="Times New Roman" w:cs="Times New Roman"/>
          <w:szCs w:val="24"/>
          <w:lang w:bidi="en-US"/>
        </w:rPr>
        <w:t>the nutrition information panel must also declare the average quantity per serving and per unit quantity of the following (2.6.2—12(2)(b)):</w:t>
      </w:r>
    </w:p>
    <w:p w14:paraId="7082D717" w14:textId="77777777" w:rsidR="00017CEA" w:rsidRPr="000E27F6" w:rsidRDefault="00017CEA" w:rsidP="00017CEA">
      <w:pPr>
        <w:pStyle w:val="ListParagraph"/>
        <w:numPr>
          <w:ilvl w:val="0"/>
          <w:numId w:val="15"/>
        </w:numPr>
        <w:jc w:val="both"/>
        <w:rPr>
          <w:rFonts w:eastAsia="Times New Roman" w:cs="Times New Roman"/>
          <w:szCs w:val="24"/>
          <w:lang w:bidi="en-US"/>
        </w:rPr>
      </w:pPr>
      <w:r w:rsidRPr="000E27F6">
        <w:rPr>
          <w:rFonts w:eastAsia="Times New Roman" w:cs="Times New Roman"/>
          <w:szCs w:val="24"/>
          <w:lang w:bidi="en-US"/>
        </w:rPr>
        <w:t xml:space="preserve">each type of monosaccharide present; and </w:t>
      </w:r>
    </w:p>
    <w:p w14:paraId="66826DDC" w14:textId="77777777" w:rsidR="00017CEA" w:rsidRPr="000E27F6" w:rsidRDefault="00017CEA" w:rsidP="00017CEA">
      <w:pPr>
        <w:pStyle w:val="ListParagraph"/>
        <w:numPr>
          <w:ilvl w:val="0"/>
          <w:numId w:val="15"/>
        </w:numPr>
        <w:jc w:val="both"/>
        <w:rPr>
          <w:rFonts w:eastAsia="Times New Roman" w:cs="Times New Roman"/>
          <w:szCs w:val="24"/>
          <w:lang w:bidi="en-US"/>
        </w:rPr>
      </w:pPr>
      <w:r w:rsidRPr="000E27F6">
        <w:rPr>
          <w:rFonts w:eastAsia="Times New Roman" w:cs="Times New Roman"/>
          <w:szCs w:val="24"/>
          <w:lang w:bidi="en-US"/>
        </w:rPr>
        <w:t>each type of disaccharide present; and</w:t>
      </w:r>
    </w:p>
    <w:p w14:paraId="34BD8F54" w14:textId="14FB908E" w:rsidR="00017CEA" w:rsidRPr="00DB6778" w:rsidRDefault="00017CEA" w:rsidP="00017CEA">
      <w:pPr>
        <w:pStyle w:val="ListParagraph"/>
        <w:numPr>
          <w:ilvl w:val="0"/>
          <w:numId w:val="15"/>
        </w:numPr>
        <w:jc w:val="both"/>
        <w:rPr>
          <w:rFonts w:eastAsia="Times New Roman" w:cs="Times New Roman"/>
          <w:szCs w:val="24"/>
          <w:lang w:bidi="en-US"/>
        </w:rPr>
      </w:pPr>
      <w:r w:rsidRPr="000E27F6">
        <w:rPr>
          <w:szCs w:val="20"/>
        </w:rPr>
        <w:t xml:space="preserve">subject to subsection </w:t>
      </w:r>
      <w:r w:rsidRPr="000E27F6">
        <w:rPr>
          <w:rFonts w:eastAsia="Times New Roman" w:cs="Times New Roman"/>
          <w:szCs w:val="24"/>
          <w:lang w:bidi="en-US"/>
        </w:rPr>
        <w:t>2.6.2—12</w:t>
      </w:r>
      <w:r w:rsidRPr="000E27F6">
        <w:rPr>
          <w:szCs w:val="20"/>
        </w:rPr>
        <w:t xml:space="preserve">(3) </w:t>
      </w:r>
      <w:r w:rsidRPr="000E27F6">
        <w:rPr>
          <w:rFonts w:eastAsia="Times New Roman" w:cs="Times New Roman"/>
          <w:szCs w:val="24"/>
          <w:lang w:bidi="en-US"/>
        </w:rPr>
        <w:t>(see below)</w:t>
      </w:r>
      <w:r w:rsidRPr="000E27F6">
        <w:rPr>
          <w:szCs w:val="20"/>
        </w:rPr>
        <w:t xml:space="preserve">, </w:t>
      </w:r>
      <w:r w:rsidRPr="000E27F6">
        <w:rPr>
          <w:rFonts w:eastAsia="Times New Roman" w:cs="Times New Roman"/>
          <w:szCs w:val="24"/>
          <w:lang w:bidi="en-US"/>
        </w:rPr>
        <w:t>each</w:t>
      </w:r>
      <w:r w:rsidRPr="00DB6778">
        <w:rPr>
          <w:rFonts w:eastAsia="Times New Roman" w:cs="Times New Roman"/>
          <w:szCs w:val="24"/>
          <w:lang w:bidi="en-US"/>
        </w:rPr>
        <w:t xml:space="preserve"> prescribed electrolyte present</w:t>
      </w:r>
      <w:r w:rsidR="00D450D5">
        <w:rPr>
          <w:rFonts w:eastAsia="Times New Roman" w:cs="Times New Roman"/>
          <w:szCs w:val="24"/>
          <w:lang w:bidi="en-US"/>
        </w:rPr>
        <w:t xml:space="preserve"> (other than sodium)</w:t>
      </w:r>
      <w:r w:rsidRPr="00DB6778">
        <w:rPr>
          <w:rFonts w:eastAsia="Times New Roman" w:cs="Times New Roman"/>
          <w:szCs w:val="24"/>
          <w:lang w:bidi="en-US"/>
        </w:rPr>
        <w:t>, expressed in milligrams or both milligrams and millimoles.</w:t>
      </w:r>
    </w:p>
    <w:p w14:paraId="67304D66" w14:textId="77777777" w:rsidR="00017CEA" w:rsidRPr="00DB6778" w:rsidRDefault="00017CEA" w:rsidP="00017CEA">
      <w:pPr>
        <w:jc w:val="both"/>
      </w:pPr>
    </w:p>
    <w:p w14:paraId="431631A0" w14:textId="77777777" w:rsidR="00017CEA" w:rsidRDefault="00017CEA" w:rsidP="00017CEA">
      <w:pPr>
        <w:jc w:val="both"/>
      </w:pPr>
      <w:r w:rsidRPr="00DB6778">
        <w:t xml:space="preserve">‘Average quantity’ and ‘unit quantity’ are terms defined in </w:t>
      </w:r>
      <w:r>
        <w:t>subsection</w:t>
      </w:r>
      <w:r w:rsidRPr="00DB6778">
        <w:t xml:space="preserve"> 1.</w:t>
      </w:r>
      <w:r>
        <w:t>1.</w:t>
      </w:r>
      <w:r w:rsidRPr="00DB6778">
        <w:t>2</w:t>
      </w:r>
      <w:r>
        <w:t>—2(3)</w:t>
      </w:r>
      <w:r w:rsidRPr="00DB6778">
        <w:t xml:space="preserve"> [see subitem 3.2 of the amended draft variation].</w:t>
      </w:r>
    </w:p>
    <w:p w14:paraId="457A8C5C" w14:textId="77777777" w:rsidR="00017CEA" w:rsidRPr="00DB6778" w:rsidRDefault="00017CEA" w:rsidP="00017CEA">
      <w:pPr>
        <w:jc w:val="both"/>
      </w:pPr>
    </w:p>
    <w:p w14:paraId="096778F8" w14:textId="77777777" w:rsidR="00017CEA" w:rsidRPr="00DB6778" w:rsidRDefault="00017CEA" w:rsidP="00017CEA">
      <w:pPr>
        <w:jc w:val="both"/>
      </w:pPr>
      <w:r w:rsidRPr="00DB6778">
        <w:rPr>
          <w:i/>
        </w:rPr>
        <w:t>Note 1</w:t>
      </w:r>
      <w:r w:rsidRPr="00DB6778">
        <w:t xml:space="preserve"> to subsection 2.6.2—12(2) explains that labelling provisions are contained in Standard 1.2.1.</w:t>
      </w:r>
    </w:p>
    <w:p w14:paraId="619889E0" w14:textId="77777777" w:rsidR="00017CEA" w:rsidRPr="00DB6778" w:rsidRDefault="00017CEA" w:rsidP="00017CEA">
      <w:pPr>
        <w:jc w:val="both"/>
      </w:pPr>
    </w:p>
    <w:p w14:paraId="33EE30AA" w14:textId="77777777" w:rsidR="00017CEA" w:rsidRPr="00DB6778" w:rsidRDefault="00017CEA" w:rsidP="00017CEA">
      <w:pPr>
        <w:jc w:val="both"/>
      </w:pPr>
      <w:r w:rsidRPr="00DB6778">
        <w:rPr>
          <w:i/>
        </w:rPr>
        <w:t>Note 2</w:t>
      </w:r>
      <w:r w:rsidRPr="00DB6778">
        <w:t xml:space="preserve"> to subsection 2.6.2—12(2) explains that according to section 1.2.8—5, packaged food (unless exempted) must include a nutrition information panel (NIP). This means that packaged electrolyte drinks and electrolyte drink bases must have an NIP unless an exemption applies, for example, the electro</w:t>
      </w:r>
      <w:r>
        <w:t>lyte</w:t>
      </w:r>
      <w:r w:rsidRPr="00DB6778">
        <w:t xml:space="preserve"> drink or electro</w:t>
      </w:r>
      <w:r>
        <w:t>lyte</w:t>
      </w:r>
      <w:r w:rsidRPr="00DB6778">
        <w:t xml:space="preserve"> drink base concerned is in a small package.</w:t>
      </w:r>
    </w:p>
    <w:p w14:paraId="53CDBEE0" w14:textId="77777777" w:rsidR="00017CEA" w:rsidRPr="00DB6778" w:rsidRDefault="00017CEA" w:rsidP="00017CEA">
      <w:pPr>
        <w:jc w:val="both"/>
      </w:pPr>
    </w:p>
    <w:p w14:paraId="17207E67" w14:textId="3A36028E" w:rsidR="00017CEA" w:rsidRDefault="00017CEA" w:rsidP="00017CEA">
      <w:pPr>
        <w:jc w:val="both"/>
      </w:pPr>
      <w:r w:rsidRPr="00DB6778">
        <w:rPr>
          <w:i/>
        </w:rPr>
        <w:t>Note 2</w:t>
      </w:r>
      <w:r w:rsidRPr="00DB6778">
        <w:t xml:space="preserve"> also explains that Standard 1.2.8 also contains other requirements relating to NIPs, for example, information that must be included and how to express that information (see sections 1.2.8—6 and 1.2.8—7). The requirements set out in paragraph 2.6.2—12(2)(b) are in addition to those other requirements.</w:t>
      </w:r>
    </w:p>
    <w:p w14:paraId="450CC2EC" w14:textId="2198C9AC" w:rsidR="00D450D5" w:rsidRDefault="00D450D5" w:rsidP="00017CEA">
      <w:pPr>
        <w:jc w:val="both"/>
      </w:pPr>
    </w:p>
    <w:p w14:paraId="7D7D8699" w14:textId="6E7C0933" w:rsidR="00D450D5" w:rsidRDefault="00D450D5" w:rsidP="00017CEA">
      <w:pPr>
        <w:jc w:val="both"/>
      </w:pPr>
      <w:r>
        <w:rPr>
          <w:i/>
        </w:rPr>
        <w:t>Note 3</w:t>
      </w:r>
      <w:r>
        <w:t xml:space="preserve"> explains that s</w:t>
      </w:r>
      <w:r w:rsidRPr="00D450D5">
        <w:t xml:space="preserve">ubparagraph 1.2.8—6(1)(d)(iii) </w:t>
      </w:r>
      <w:r>
        <w:t xml:space="preserve">already </w:t>
      </w:r>
      <w:r w:rsidRPr="00D450D5">
        <w:t>requires that a nutrition information panel must contain (among other information) the average quantity of sodium, expressed in milligrams or both milligrams and millimoles for a serving of the food and a unit quantity of the food.</w:t>
      </w:r>
    </w:p>
    <w:p w14:paraId="549E05E4" w14:textId="77777777" w:rsidR="00017CEA" w:rsidRDefault="00017CEA" w:rsidP="00017CEA">
      <w:pPr>
        <w:jc w:val="both"/>
      </w:pPr>
    </w:p>
    <w:p w14:paraId="4D54D8D0" w14:textId="77777777" w:rsidR="00017CEA" w:rsidRPr="00353F46" w:rsidRDefault="00017CEA" w:rsidP="00017CEA">
      <w:pPr>
        <w:jc w:val="both"/>
      </w:pPr>
      <w:r w:rsidRPr="00353F46">
        <w:t>Subsection 2.6.2—12(3) provides that the requirement in subparagraph 2.6.2— 2(2)(b)(iii) applies only in relation to an electrolyte drink or an electrolyte drink base to which a substance listed in subsection 2.6.2—11(3) has been added.</w:t>
      </w:r>
    </w:p>
    <w:p w14:paraId="4B0E8D5C" w14:textId="77777777" w:rsidR="00017CEA" w:rsidRPr="00353F46" w:rsidRDefault="00017CEA" w:rsidP="00017CEA">
      <w:pPr>
        <w:jc w:val="both"/>
      </w:pPr>
    </w:p>
    <w:p w14:paraId="0851EE8C" w14:textId="77777777" w:rsidR="00017CEA" w:rsidRPr="00DB6778" w:rsidRDefault="00017CEA" w:rsidP="00017CEA">
      <w:pPr>
        <w:jc w:val="both"/>
      </w:pPr>
      <w:r w:rsidRPr="00353F46">
        <w:t xml:space="preserve">The effect of both paragraph 2.6.2—12(2)(b) and subsection 2.6.2—12(3) is that </w:t>
      </w:r>
      <w:r w:rsidRPr="00353F46">
        <w:rPr>
          <w:i/>
        </w:rPr>
        <w:t>where a substance listed in subsection 2.6.2—11(3) has been added to an electrolyte drink or electrolyte drink base</w:t>
      </w:r>
      <w:r w:rsidRPr="00353F46">
        <w:t xml:space="preserve">, the average quantity per serving and per unit quantity of each prescribed electrolyte that is present in the electrolyte drink or electrolyte drink base must be declared. These quantities are based on the </w:t>
      </w:r>
      <w:r w:rsidRPr="00353F46">
        <w:rPr>
          <w:i/>
        </w:rPr>
        <w:t>total amount</w:t>
      </w:r>
      <w:r w:rsidRPr="00353F46">
        <w:t xml:space="preserve"> of a prescribed electrolyte that is present in the electrolyte drink or electrolyte drink base, i.e. the amount of the prescribed electrolyte derived from </w:t>
      </w:r>
      <w:r w:rsidRPr="00353F46">
        <w:rPr>
          <w:i/>
        </w:rPr>
        <w:t>all</w:t>
      </w:r>
      <w:r w:rsidRPr="00353F46">
        <w:t xml:space="preserve"> sources added to the electrolyte drink or electrolyte drink base—derived from a substance listed in 2.6.2—11(3); and from any other substance such as an intense sweetener.</w:t>
      </w:r>
    </w:p>
    <w:p w14:paraId="4A392875" w14:textId="77777777" w:rsidR="00017CEA" w:rsidRDefault="00017CEA" w:rsidP="00017CEA">
      <w:pPr>
        <w:jc w:val="both"/>
      </w:pPr>
    </w:p>
    <w:p w14:paraId="0DD1E1CE" w14:textId="77777777" w:rsidR="00017CEA" w:rsidRDefault="00017CEA" w:rsidP="00017CEA">
      <w:pPr>
        <w:jc w:val="both"/>
      </w:pPr>
      <w:r w:rsidRPr="00E633AF">
        <w:rPr>
          <w:i/>
        </w:rPr>
        <w:t xml:space="preserve">Section 2.6.2—13 </w:t>
      </w:r>
      <w:r>
        <w:t>sets out the following l</w:t>
      </w:r>
      <w:r w:rsidRPr="00814B49">
        <w:t xml:space="preserve">abelling </w:t>
      </w:r>
      <w:r>
        <w:t>requirements for</w:t>
      </w:r>
      <w:r w:rsidRPr="00814B49">
        <w:t xml:space="preserve"> electrolyte drinks and electrolyte drink bases</w:t>
      </w:r>
      <w:r>
        <w:t xml:space="preserve"> in small packages.</w:t>
      </w:r>
    </w:p>
    <w:p w14:paraId="47D05262" w14:textId="77777777" w:rsidR="00017CEA" w:rsidRDefault="00017CEA" w:rsidP="00017CEA">
      <w:pPr>
        <w:jc w:val="both"/>
      </w:pPr>
    </w:p>
    <w:p w14:paraId="1DF55C6F" w14:textId="77777777" w:rsidR="00017CEA" w:rsidRPr="00DC4A89" w:rsidRDefault="00017CEA" w:rsidP="00017CEA">
      <w:pPr>
        <w:jc w:val="both"/>
      </w:pPr>
      <w:r>
        <w:t xml:space="preserve">Subsection 2.6.2—13(1) clarifies that requirements in this section </w:t>
      </w:r>
      <w:r w:rsidRPr="00DC4A89">
        <w:t>appl</w:t>
      </w:r>
      <w:r>
        <w:t>y</w:t>
      </w:r>
      <w:r w:rsidRPr="00DC4A89">
        <w:t xml:space="preserve"> to an electrolyte drink or electrolyte drink base</w:t>
      </w:r>
      <w:r>
        <w:t>:</w:t>
      </w:r>
      <w:r w:rsidRPr="00DC4A89">
        <w:t xml:space="preserve"> </w:t>
      </w:r>
    </w:p>
    <w:p w14:paraId="68E7D834" w14:textId="77777777" w:rsidR="00017CEA" w:rsidRDefault="00017CEA" w:rsidP="00017CEA">
      <w:pPr>
        <w:jc w:val="both"/>
      </w:pPr>
    </w:p>
    <w:p w14:paraId="215E207A" w14:textId="77777777" w:rsidR="00017CEA" w:rsidRPr="00DC4A89" w:rsidRDefault="00017CEA" w:rsidP="00017CEA">
      <w:pPr>
        <w:pStyle w:val="ListParagraph"/>
        <w:numPr>
          <w:ilvl w:val="0"/>
          <w:numId w:val="16"/>
        </w:numPr>
        <w:jc w:val="both"/>
        <w:rPr>
          <w:rFonts w:eastAsia="Times New Roman" w:cs="Times New Roman"/>
          <w:szCs w:val="24"/>
          <w:lang w:bidi="en-US"/>
        </w:rPr>
      </w:pPr>
      <w:r w:rsidRPr="00DC4A89">
        <w:rPr>
          <w:rFonts w:eastAsia="Times New Roman" w:cs="Times New Roman"/>
          <w:szCs w:val="24"/>
          <w:lang w:bidi="en-US"/>
        </w:rPr>
        <w:t>that is in a small package; and</w:t>
      </w:r>
    </w:p>
    <w:p w14:paraId="3310BD24" w14:textId="77777777" w:rsidR="00017CEA" w:rsidRPr="00DC4A89" w:rsidRDefault="00017CEA" w:rsidP="00017CEA">
      <w:pPr>
        <w:pStyle w:val="ListParagraph"/>
        <w:numPr>
          <w:ilvl w:val="0"/>
          <w:numId w:val="16"/>
        </w:numPr>
        <w:jc w:val="both"/>
        <w:rPr>
          <w:rFonts w:eastAsia="Times New Roman" w:cs="Times New Roman"/>
          <w:szCs w:val="24"/>
          <w:lang w:bidi="en-US"/>
        </w:rPr>
      </w:pPr>
      <w:r w:rsidRPr="00DC4A89">
        <w:rPr>
          <w:rFonts w:eastAsia="Times New Roman" w:cs="Times New Roman"/>
          <w:szCs w:val="24"/>
          <w:lang w:bidi="en-US"/>
        </w:rPr>
        <w:t>about w</w:t>
      </w:r>
      <w:r>
        <w:rPr>
          <w:rFonts w:eastAsia="Times New Roman" w:cs="Times New Roman"/>
          <w:szCs w:val="24"/>
          <w:lang w:bidi="en-US"/>
        </w:rPr>
        <w:t xml:space="preserve">hich a </w:t>
      </w:r>
      <w:r w:rsidRPr="00DC4A89">
        <w:rPr>
          <w:rFonts w:eastAsia="Times New Roman" w:cs="Times New Roman"/>
          <w:szCs w:val="24"/>
          <w:lang w:bidi="en-US"/>
        </w:rPr>
        <w:t>claim requiring nutrition information is made; and</w:t>
      </w:r>
    </w:p>
    <w:p w14:paraId="2434D93C" w14:textId="77777777" w:rsidR="00017CEA" w:rsidRPr="00DC4A89" w:rsidRDefault="00017CEA" w:rsidP="00017CEA">
      <w:pPr>
        <w:pStyle w:val="ListParagraph"/>
        <w:numPr>
          <w:ilvl w:val="0"/>
          <w:numId w:val="16"/>
        </w:numPr>
        <w:jc w:val="both"/>
        <w:rPr>
          <w:rFonts w:eastAsia="Times New Roman" w:cs="Times New Roman"/>
          <w:i/>
          <w:szCs w:val="24"/>
          <w:lang w:bidi="en-US"/>
        </w:rPr>
      </w:pPr>
      <w:r w:rsidRPr="00DC4A89">
        <w:rPr>
          <w:rFonts w:eastAsia="Times New Roman" w:cs="Times New Roman"/>
          <w:szCs w:val="24"/>
          <w:lang w:bidi="en-US"/>
        </w:rPr>
        <w:t>th</w:t>
      </w:r>
      <w:r>
        <w:rPr>
          <w:rFonts w:eastAsia="Times New Roman" w:cs="Times New Roman"/>
          <w:szCs w:val="24"/>
          <w:lang w:bidi="en-US"/>
        </w:rPr>
        <w:t>e</w:t>
      </w:r>
      <w:r w:rsidRPr="00DC4A89">
        <w:rPr>
          <w:rFonts w:eastAsia="Times New Roman" w:cs="Times New Roman"/>
          <w:szCs w:val="24"/>
          <w:lang w:bidi="en-US"/>
        </w:rPr>
        <w:t xml:space="preserve"> claim relates to a prescribed electrolyte.</w:t>
      </w:r>
    </w:p>
    <w:p w14:paraId="1A7E8D65" w14:textId="77777777" w:rsidR="00017CEA" w:rsidRDefault="00017CEA" w:rsidP="00017CEA">
      <w:pPr>
        <w:jc w:val="both"/>
        <w:rPr>
          <w:b/>
        </w:rPr>
      </w:pPr>
    </w:p>
    <w:p w14:paraId="040310D2" w14:textId="77777777" w:rsidR="00017CEA" w:rsidRDefault="00017CEA" w:rsidP="00017CEA">
      <w:pPr>
        <w:jc w:val="both"/>
      </w:pPr>
      <w:r>
        <w:t xml:space="preserve">The terms ‘a small package’ and ‘a </w:t>
      </w:r>
      <w:r w:rsidRPr="00DC4A89">
        <w:t>claim requiring nutrition information</w:t>
      </w:r>
      <w:r>
        <w:t xml:space="preserve">’ are defined in subsection 1.1.2—2(3) [see subitem 3.2 of the amended draft variation]. </w:t>
      </w:r>
    </w:p>
    <w:p w14:paraId="04A8F374" w14:textId="77777777" w:rsidR="00017CEA" w:rsidRDefault="00017CEA" w:rsidP="00017CEA">
      <w:pPr>
        <w:jc w:val="both"/>
      </w:pPr>
    </w:p>
    <w:p w14:paraId="60904E3A" w14:textId="2178E9C7" w:rsidR="00017CEA" w:rsidRDefault="00017CEA" w:rsidP="00017CEA">
      <w:pPr>
        <w:jc w:val="both"/>
      </w:pPr>
      <w:r w:rsidRPr="00FE0675">
        <w:t>Subsection 2.6.2—13(2) provide</w:t>
      </w:r>
      <w:r w:rsidR="008430CC">
        <w:t>s</w:t>
      </w:r>
      <w:r w:rsidRPr="00FE0675">
        <w:t xml:space="preserve"> that for the labelling provisions, the required information includes the average quantity per serving of each prescribed electrolyte present, expressed in milligrams or both milligrams and millimoles.</w:t>
      </w:r>
    </w:p>
    <w:p w14:paraId="1B1603E7" w14:textId="77777777" w:rsidR="00017CEA" w:rsidRDefault="00017CEA" w:rsidP="00017CEA">
      <w:pPr>
        <w:jc w:val="both"/>
      </w:pPr>
    </w:p>
    <w:p w14:paraId="36A07FEC" w14:textId="77777777" w:rsidR="00017CEA" w:rsidRDefault="00017CEA" w:rsidP="00017CEA">
      <w:pPr>
        <w:jc w:val="both"/>
      </w:pPr>
      <w:r w:rsidRPr="00AC3723">
        <w:rPr>
          <w:i/>
        </w:rPr>
        <w:t>Note</w:t>
      </w:r>
      <w:r w:rsidRPr="00AC3723">
        <w:t xml:space="preserve"> </w:t>
      </w:r>
      <w:r>
        <w:rPr>
          <w:i/>
        </w:rPr>
        <w:t xml:space="preserve">1 </w:t>
      </w:r>
      <w:r>
        <w:t>to this subsection explains that labelling provisions are contained in Standard 1.2.1.</w:t>
      </w:r>
    </w:p>
    <w:p w14:paraId="465853C1" w14:textId="77777777" w:rsidR="00017CEA" w:rsidRDefault="00017CEA" w:rsidP="00017CEA">
      <w:pPr>
        <w:jc w:val="both"/>
      </w:pPr>
    </w:p>
    <w:p w14:paraId="4591F6D8" w14:textId="77777777" w:rsidR="00017CEA" w:rsidRPr="0036775F" w:rsidRDefault="00017CEA" w:rsidP="00017CEA">
      <w:pPr>
        <w:jc w:val="both"/>
      </w:pPr>
      <w:r w:rsidRPr="0036775F">
        <w:rPr>
          <w:i/>
        </w:rPr>
        <w:t>Note</w:t>
      </w:r>
      <w:r w:rsidRPr="0036775F">
        <w:t xml:space="preserve"> </w:t>
      </w:r>
      <w:r w:rsidRPr="0036775F">
        <w:rPr>
          <w:i/>
        </w:rPr>
        <w:t xml:space="preserve">2 </w:t>
      </w:r>
      <w:r w:rsidRPr="0036775F">
        <w:t xml:space="preserve">to this subsection explains that the requirements of subsection 2.6.2—13(2) are in addition to the requirements set out in section 1.2.8—14. Section 1.2.8—14 </w:t>
      </w:r>
      <w:r w:rsidRPr="0036775F">
        <w:lastRenderedPageBreak/>
        <w:t>sets out requirements for food for sale in a small package where a claim requiring nutrition information is made in relation to the food.</w:t>
      </w:r>
    </w:p>
    <w:p w14:paraId="0BB78D3F" w14:textId="77777777" w:rsidR="00017CEA" w:rsidRPr="0036775F" w:rsidRDefault="00017CEA" w:rsidP="00017CEA">
      <w:pPr>
        <w:jc w:val="both"/>
      </w:pPr>
    </w:p>
    <w:p w14:paraId="1BB25606" w14:textId="77777777" w:rsidR="00017CEA" w:rsidRPr="0036775F" w:rsidRDefault="00017CEA" w:rsidP="00017CEA">
      <w:pPr>
        <w:jc w:val="both"/>
      </w:pPr>
      <w:r w:rsidRPr="0036775F">
        <w:t xml:space="preserve">Subsection 2.6.2—13(3) provides that paragraph 1.2.8—14(1)(b) does not apply to an electrolyte drink or electrolyte drink base in a small package when making a claim requiring nutrition information relating to a </w:t>
      </w:r>
      <w:r w:rsidRPr="0036775F">
        <w:rPr>
          <w:i/>
        </w:rPr>
        <w:t>prescribed electrolyte</w:t>
      </w:r>
      <w:r w:rsidRPr="0036775F">
        <w:t>.</w:t>
      </w:r>
    </w:p>
    <w:p w14:paraId="239AD722" w14:textId="77777777" w:rsidR="00017CEA" w:rsidRPr="0036775F" w:rsidRDefault="00017CEA" w:rsidP="00017CEA">
      <w:pPr>
        <w:jc w:val="both"/>
      </w:pPr>
    </w:p>
    <w:p w14:paraId="063BFA9D" w14:textId="77777777" w:rsidR="00017CEA" w:rsidRPr="0036775F" w:rsidRDefault="00017CEA" w:rsidP="00017CEA">
      <w:pPr>
        <w:jc w:val="both"/>
      </w:pPr>
      <w:r w:rsidRPr="0036775F">
        <w:t xml:space="preserve">The </w:t>
      </w:r>
      <w:r w:rsidRPr="0036775F">
        <w:rPr>
          <w:i/>
        </w:rPr>
        <w:t>Note</w:t>
      </w:r>
      <w:r w:rsidRPr="0036775F">
        <w:t xml:space="preserve"> to this subsection explains that paragraph 1.2.8—14(1)(b) sets out nutrition information requirements for food for sale in a small package where a claim requiring nutrition information is made about a matter listed in Column 1 of the table to section S13—2 (such as sodium or a mineral with </w:t>
      </w:r>
      <w:r>
        <w:t xml:space="preserve">a </w:t>
      </w:r>
      <w:r w:rsidRPr="0036775F">
        <w:t xml:space="preserve">Recommended dietary intake (RDI)). </w:t>
      </w:r>
    </w:p>
    <w:p w14:paraId="460A028C" w14:textId="77777777" w:rsidR="00017CEA" w:rsidRPr="0036775F" w:rsidRDefault="00017CEA" w:rsidP="00017CEA">
      <w:pPr>
        <w:jc w:val="both"/>
      </w:pPr>
    </w:p>
    <w:p w14:paraId="09108077" w14:textId="77777777" w:rsidR="00017CEA" w:rsidRDefault="00017CEA" w:rsidP="00017CEA">
      <w:pPr>
        <w:jc w:val="both"/>
      </w:pPr>
      <w:r w:rsidRPr="0036775F">
        <w:rPr>
          <w:i/>
        </w:rPr>
        <w:t xml:space="preserve">Section 2.6.2—14 </w:t>
      </w:r>
      <w:r w:rsidRPr="0036775F">
        <w:t>contains the following prohibitions related to RDI information for electrolyte drinks and electrolyte drink bases.</w:t>
      </w:r>
    </w:p>
    <w:p w14:paraId="591D1345" w14:textId="77777777" w:rsidR="00017CEA" w:rsidRDefault="00017CEA" w:rsidP="00017CEA">
      <w:pPr>
        <w:jc w:val="both"/>
      </w:pPr>
    </w:p>
    <w:p w14:paraId="4B792731" w14:textId="77777777" w:rsidR="00017CEA" w:rsidRDefault="00017CEA" w:rsidP="00017CEA">
      <w:pPr>
        <w:jc w:val="both"/>
      </w:pPr>
      <w:r>
        <w:t xml:space="preserve">Subsection 2.6.2—14(1) provides that </w:t>
      </w:r>
      <w:r>
        <w:rPr>
          <w:szCs w:val="20"/>
        </w:rPr>
        <w:t>an</w:t>
      </w:r>
      <w:r w:rsidRPr="00BE716A">
        <w:rPr>
          <w:szCs w:val="20"/>
        </w:rPr>
        <w:t xml:space="preserve"> </w:t>
      </w:r>
      <w:r>
        <w:rPr>
          <w:szCs w:val="20"/>
        </w:rPr>
        <w:t>RDI</w:t>
      </w:r>
      <w:r w:rsidDel="00783777">
        <w:t xml:space="preserve"> </w:t>
      </w:r>
      <w:r>
        <w:t xml:space="preserve">must not be stated or declared in relation to </w:t>
      </w:r>
      <w:r w:rsidRPr="00BE716A">
        <w:t>an electrolyte drink or electrolyte drink base</w:t>
      </w:r>
      <w:r>
        <w:t>.</w:t>
      </w:r>
    </w:p>
    <w:p w14:paraId="01E15693" w14:textId="77777777" w:rsidR="00017CEA" w:rsidRDefault="00017CEA" w:rsidP="00017CEA">
      <w:pPr>
        <w:jc w:val="both"/>
      </w:pPr>
    </w:p>
    <w:p w14:paraId="3CC2FBBA" w14:textId="77777777" w:rsidR="00017CEA" w:rsidRDefault="00017CEA" w:rsidP="00017CEA">
      <w:pPr>
        <w:jc w:val="both"/>
      </w:pPr>
      <w:r>
        <w:t>Subsection 2.6.2—14(2) provides that s</w:t>
      </w:r>
      <w:r w:rsidRPr="001E3898">
        <w:t>ection 1.2.8—9 does not apply to an electrolyte drink or electrolyte drink base.</w:t>
      </w:r>
    </w:p>
    <w:p w14:paraId="1F3FDC80" w14:textId="77777777" w:rsidR="00017CEA" w:rsidRDefault="00017CEA" w:rsidP="00017CEA">
      <w:pPr>
        <w:jc w:val="both"/>
      </w:pPr>
    </w:p>
    <w:p w14:paraId="6FFAE161" w14:textId="07807069" w:rsidR="00017CEA" w:rsidRDefault="00017CEA" w:rsidP="00017CEA">
      <w:pPr>
        <w:jc w:val="both"/>
      </w:pPr>
      <w:r>
        <w:t>A</w:t>
      </w:r>
      <w:r w:rsidRPr="00AC3723">
        <w:t xml:space="preserve"> </w:t>
      </w:r>
      <w:r w:rsidRPr="00AC3723">
        <w:rPr>
          <w:i/>
        </w:rPr>
        <w:t>Note</w:t>
      </w:r>
      <w:r w:rsidRPr="00AC3723">
        <w:t xml:space="preserve"> </w:t>
      </w:r>
      <w:r>
        <w:t>to this subsection explains that s</w:t>
      </w:r>
      <w:r w:rsidRPr="001E3898">
        <w:t>ection 1.2.8—9 relates to</w:t>
      </w:r>
      <w:r>
        <w:t xml:space="preserve"> percentage RDI information and applies to</w:t>
      </w:r>
      <w:r w:rsidRPr="001E3898">
        <w:t xml:space="preserve"> minerals with a</w:t>
      </w:r>
      <w:r>
        <w:t>n</w:t>
      </w:r>
      <w:r w:rsidRPr="001E3898">
        <w:t xml:space="preserve"> RDI (among other things). </w:t>
      </w:r>
      <w:r>
        <w:t>As stated above, s</w:t>
      </w:r>
      <w:r w:rsidRPr="001E3898">
        <w:t>ome of the substances listed as ‘prescribed electrolytes’ in s</w:t>
      </w:r>
      <w:r>
        <w:t>ubs</w:t>
      </w:r>
      <w:r w:rsidRPr="001E3898">
        <w:t>ection 2.6.2—10</w:t>
      </w:r>
      <w:r>
        <w:t>(1)</w:t>
      </w:r>
      <w:r w:rsidRPr="001E3898">
        <w:t xml:space="preserve"> are also minerals with an RDI for the purposes of </w:t>
      </w:r>
      <w:r>
        <w:t>s</w:t>
      </w:r>
      <w:r w:rsidRPr="001E3898">
        <w:t>ection 1.2.8—9</w:t>
      </w:r>
      <w:r>
        <w:t>, for example, calcium and magnesium</w:t>
      </w:r>
      <w:r w:rsidR="00B12983">
        <w:t xml:space="preserve"> </w:t>
      </w:r>
      <w:r w:rsidR="00B12983" w:rsidRPr="00B12983">
        <w:t xml:space="preserve">(see </w:t>
      </w:r>
      <w:r w:rsidR="00B12983">
        <w:t xml:space="preserve">also </w:t>
      </w:r>
      <w:r w:rsidR="00B12983" w:rsidRPr="00B12983">
        <w:t>the table to section S1—3)</w:t>
      </w:r>
      <w:r>
        <w:t xml:space="preserve">. </w:t>
      </w:r>
    </w:p>
    <w:p w14:paraId="06A54000" w14:textId="77777777" w:rsidR="00017CEA" w:rsidRDefault="00017CEA" w:rsidP="00017CEA">
      <w:pPr>
        <w:jc w:val="both"/>
      </w:pPr>
    </w:p>
    <w:p w14:paraId="0C94F9EC" w14:textId="77777777" w:rsidR="00017CEA" w:rsidRDefault="00017CEA" w:rsidP="00017CEA">
      <w:pPr>
        <w:jc w:val="both"/>
      </w:pPr>
      <w:r>
        <w:rPr>
          <w:i/>
        </w:rPr>
        <w:t xml:space="preserve">Section 2.6.2—15 </w:t>
      </w:r>
      <w:r>
        <w:t>contains the following requirements and limitations for making n</w:t>
      </w:r>
      <w:r w:rsidRPr="00412D05">
        <w:t>utrition content claims about electrolyte drinks and electrolyte drink bases</w:t>
      </w:r>
      <w:r>
        <w:t>.</w:t>
      </w:r>
    </w:p>
    <w:p w14:paraId="4A4495DF" w14:textId="77777777" w:rsidR="00017CEA" w:rsidRDefault="00017CEA" w:rsidP="00017CEA">
      <w:pPr>
        <w:jc w:val="both"/>
      </w:pPr>
    </w:p>
    <w:p w14:paraId="44365C43" w14:textId="77777777" w:rsidR="00017CEA" w:rsidRDefault="00017CEA" w:rsidP="00017CEA">
      <w:pPr>
        <w:jc w:val="both"/>
      </w:pPr>
      <w:r>
        <w:t>‘Nutrition content claim’ is defined in section 1.1.2—9 [see subitem 3.2 of the amended draft variation].</w:t>
      </w:r>
    </w:p>
    <w:p w14:paraId="747E3E6B" w14:textId="77777777" w:rsidR="00017CEA" w:rsidRDefault="00017CEA" w:rsidP="00017CEA">
      <w:pPr>
        <w:jc w:val="both"/>
      </w:pPr>
    </w:p>
    <w:p w14:paraId="2A2D8509" w14:textId="77777777" w:rsidR="00017CEA" w:rsidRDefault="00017CEA" w:rsidP="00017CEA">
      <w:pPr>
        <w:jc w:val="both"/>
      </w:pPr>
      <w:r>
        <w:t>Subsection 2.6.2—15(1) only allows a</w:t>
      </w:r>
      <w:r w:rsidRPr="001077A0">
        <w:t xml:space="preserve"> nutrition content claim </w:t>
      </w:r>
      <w:r>
        <w:t xml:space="preserve">to </w:t>
      </w:r>
      <w:r w:rsidRPr="001077A0">
        <w:t xml:space="preserve">be made about an electrolyte drink or electrolyte drink base </w:t>
      </w:r>
      <w:r>
        <w:t>if both of the following conditions are satisfied</w:t>
      </w:r>
      <w:r w:rsidRPr="001077A0">
        <w:t>:</w:t>
      </w:r>
    </w:p>
    <w:p w14:paraId="2F556EFB" w14:textId="77777777" w:rsidR="00017CEA" w:rsidRPr="001077A0" w:rsidRDefault="00017CEA" w:rsidP="00017CEA">
      <w:pPr>
        <w:jc w:val="both"/>
      </w:pPr>
    </w:p>
    <w:p w14:paraId="7B8F5C4F" w14:textId="77777777" w:rsidR="00017CEA" w:rsidRPr="00EF797C" w:rsidRDefault="00017CEA" w:rsidP="00017CEA">
      <w:pPr>
        <w:pStyle w:val="ListParagraph"/>
        <w:numPr>
          <w:ilvl w:val="0"/>
          <w:numId w:val="17"/>
        </w:numPr>
        <w:jc w:val="both"/>
        <w:rPr>
          <w:rFonts w:eastAsia="Times New Roman" w:cs="Times New Roman"/>
          <w:szCs w:val="24"/>
          <w:lang w:bidi="en-US"/>
        </w:rPr>
      </w:pPr>
      <w:r w:rsidRPr="00EF797C">
        <w:rPr>
          <w:rFonts w:eastAsia="Times New Roman" w:cs="Times New Roman"/>
          <w:szCs w:val="24"/>
          <w:lang w:bidi="en-US"/>
        </w:rPr>
        <w:t>subject to paragraph 2.6.2—1</w:t>
      </w:r>
      <w:r>
        <w:rPr>
          <w:rFonts w:eastAsia="Times New Roman" w:cs="Times New Roman"/>
          <w:szCs w:val="24"/>
          <w:lang w:bidi="en-US"/>
        </w:rPr>
        <w:t>5</w:t>
      </w:r>
      <w:r w:rsidRPr="00EF797C">
        <w:rPr>
          <w:rFonts w:eastAsia="Times New Roman" w:cs="Times New Roman"/>
          <w:szCs w:val="24"/>
          <w:lang w:bidi="en-US"/>
        </w:rPr>
        <w:t>(2)(b), the claim is made in accordance with Division 4 of Standard 1.2.7</w:t>
      </w:r>
      <w:r>
        <w:rPr>
          <w:rFonts w:eastAsia="Times New Roman" w:cs="Times New Roman"/>
          <w:szCs w:val="24"/>
          <w:lang w:bidi="en-US"/>
        </w:rPr>
        <w:t xml:space="preserve"> (</w:t>
      </w:r>
      <w:r w:rsidRPr="0027486C">
        <w:rPr>
          <w:rFonts w:eastAsia="Times New Roman" w:cs="Times New Roman"/>
          <w:i/>
          <w:szCs w:val="24"/>
          <w:lang w:bidi="en-US"/>
        </w:rPr>
        <w:t>Requirements for nutrition content claims</w:t>
      </w:r>
      <w:r>
        <w:rPr>
          <w:rFonts w:eastAsia="Times New Roman" w:cs="Times New Roman"/>
          <w:szCs w:val="24"/>
          <w:lang w:bidi="en-US"/>
        </w:rPr>
        <w:t>)</w:t>
      </w:r>
      <w:r w:rsidRPr="00EF797C">
        <w:rPr>
          <w:rFonts w:eastAsia="Times New Roman" w:cs="Times New Roman"/>
          <w:szCs w:val="24"/>
          <w:lang w:bidi="en-US"/>
        </w:rPr>
        <w:t>; and</w:t>
      </w:r>
    </w:p>
    <w:p w14:paraId="45D54DB1" w14:textId="77777777" w:rsidR="00017CEA" w:rsidRPr="00EF797C" w:rsidRDefault="00017CEA" w:rsidP="00017CEA">
      <w:pPr>
        <w:pStyle w:val="ListParagraph"/>
        <w:numPr>
          <w:ilvl w:val="0"/>
          <w:numId w:val="17"/>
        </w:numPr>
        <w:jc w:val="both"/>
        <w:rPr>
          <w:rFonts w:eastAsia="Times New Roman" w:cs="Times New Roman"/>
          <w:szCs w:val="24"/>
          <w:lang w:bidi="en-US"/>
        </w:rPr>
      </w:pPr>
      <w:r w:rsidRPr="00EF797C">
        <w:rPr>
          <w:rFonts w:eastAsia="Times New Roman" w:cs="Times New Roman"/>
          <w:szCs w:val="24"/>
          <w:lang w:bidi="en-US"/>
        </w:rPr>
        <w:t>the claim is about any of the following:</w:t>
      </w:r>
    </w:p>
    <w:p w14:paraId="2312570B" w14:textId="77777777" w:rsidR="00017CEA" w:rsidRPr="00EF797C" w:rsidRDefault="00017CEA" w:rsidP="00017CEA">
      <w:pPr>
        <w:pStyle w:val="ListParagraph"/>
        <w:numPr>
          <w:ilvl w:val="0"/>
          <w:numId w:val="18"/>
        </w:numPr>
        <w:jc w:val="both"/>
        <w:rPr>
          <w:rFonts w:eastAsia="Times New Roman" w:cs="Times New Roman"/>
          <w:szCs w:val="24"/>
          <w:lang w:bidi="en-US"/>
        </w:rPr>
      </w:pPr>
      <w:r>
        <w:rPr>
          <w:rFonts w:eastAsia="Times New Roman" w:cs="Times New Roman"/>
          <w:szCs w:val="24"/>
          <w:lang w:bidi="en-US"/>
        </w:rPr>
        <w:t xml:space="preserve">sugar or </w:t>
      </w:r>
      <w:r w:rsidRPr="00EF797C">
        <w:rPr>
          <w:rFonts w:eastAsia="Times New Roman" w:cs="Times New Roman"/>
          <w:szCs w:val="24"/>
          <w:lang w:bidi="en-US"/>
        </w:rPr>
        <w:t>sugars content; or</w:t>
      </w:r>
    </w:p>
    <w:p w14:paraId="11A20F60" w14:textId="77777777" w:rsidR="00017CEA" w:rsidRPr="00EF797C" w:rsidRDefault="00017CEA" w:rsidP="00017CEA">
      <w:pPr>
        <w:pStyle w:val="ListParagraph"/>
        <w:numPr>
          <w:ilvl w:val="0"/>
          <w:numId w:val="18"/>
        </w:numPr>
        <w:jc w:val="both"/>
        <w:rPr>
          <w:rFonts w:eastAsia="Times New Roman" w:cs="Times New Roman"/>
          <w:szCs w:val="24"/>
          <w:lang w:bidi="en-US"/>
        </w:rPr>
      </w:pPr>
      <w:r w:rsidRPr="00EF797C">
        <w:rPr>
          <w:rFonts w:eastAsia="Times New Roman" w:cs="Times New Roman"/>
          <w:szCs w:val="24"/>
          <w:lang w:bidi="en-US"/>
        </w:rPr>
        <w:t>carbohydrate content; or</w:t>
      </w:r>
    </w:p>
    <w:p w14:paraId="11348934" w14:textId="77777777" w:rsidR="00017CEA" w:rsidRPr="0036775F" w:rsidRDefault="00017CEA" w:rsidP="00017CEA">
      <w:pPr>
        <w:pStyle w:val="ListParagraph"/>
        <w:numPr>
          <w:ilvl w:val="0"/>
          <w:numId w:val="18"/>
        </w:numPr>
        <w:jc w:val="both"/>
        <w:rPr>
          <w:rFonts w:eastAsia="Times New Roman" w:cs="Times New Roman"/>
          <w:szCs w:val="24"/>
          <w:lang w:bidi="en-US"/>
        </w:rPr>
      </w:pPr>
      <w:r w:rsidRPr="0036775F">
        <w:rPr>
          <w:rFonts w:eastAsia="Times New Roman" w:cs="Times New Roman"/>
          <w:szCs w:val="24"/>
          <w:lang w:bidi="en-US"/>
        </w:rPr>
        <w:t>energy; or</w:t>
      </w:r>
    </w:p>
    <w:p w14:paraId="278053A1" w14:textId="77777777" w:rsidR="00017CEA" w:rsidRPr="0036775F" w:rsidRDefault="00017CEA" w:rsidP="00017CEA">
      <w:pPr>
        <w:pStyle w:val="ListParagraph"/>
        <w:numPr>
          <w:ilvl w:val="0"/>
          <w:numId w:val="18"/>
        </w:numPr>
        <w:jc w:val="both"/>
        <w:rPr>
          <w:rFonts w:eastAsia="Times New Roman" w:cs="Times New Roman"/>
          <w:szCs w:val="24"/>
          <w:lang w:bidi="en-US"/>
        </w:rPr>
      </w:pPr>
      <w:r w:rsidRPr="0036775F">
        <w:rPr>
          <w:rFonts w:eastAsia="Times New Roman" w:cs="Times New Roman"/>
          <w:szCs w:val="24"/>
          <w:lang w:bidi="en-US"/>
        </w:rPr>
        <w:t xml:space="preserve">the presence of one or more prescribed electrolytes.  </w:t>
      </w:r>
    </w:p>
    <w:p w14:paraId="011502C3" w14:textId="77777777" w:rsidR="00017CEA" w:rsidRDefault="00017CEA" w:rsidP="00017CEA">
      <w:pPr>
        <w:jc w:val="both"/>
        <w:rPr>
          <w:b/>
        </w:rPr>
      </w:pPr>
    </w:p>
    <w:p w14:paraId="1E1799F4" w14:textId="77777777" w:rsidR="00017CEA" w:rsidRDefault="00017CEA" w:rsidP="00017CEA">
      <w:pPr>
        <w:jc w:val="both"/>
      </w:pPr>
      <w:r w:rsidRPr="00EF797C">
        <w:t xml:space="preserve">‘Sugars’ is defined in </w:t>
      </w:r>
      <w:r>
        <w:t>sub</w:t>
      </w:r>
      <w:r w:rsidRPr="00EF797C">
        <w:t>section 1.1.2—</w:t>
      </w:r>
      <w:r>
        <w:t>2(3) [see subitem 3.2 of the amended draft variation]</w:t>
      </w:r>
      <w:r w:rsidRPr="00EF797C">
        <w:t>.</w:t>
      </w:r>
      <w:r>
        <w:t xml:space="preserve"> </w:t>
      </w:r>
    </w:p>
    <w:p w14:paraId="0A79F871" w14:textId="77777777" w:rsidR="00017CEA" w:rsidRDefault="00017CEA" w:rsidP="00017CEA">
      <w:pPr>
        <w:jc w:val="both"/>
        <w:rPr>
          <w:b/>
        </w:rPr>
      </w:pPr>
    </w:p>
    <w:p w14:paraId="043CBB04" w14:textId="77777777" w:rsidR="00017CEA" w:rsidRDefault="00017CEA" w:rsidP="00017CEA">
      <w:pPr>
        <w:jc w:val="both"/>
      </w:pPr>
      <w:r>
        <w:t xml:space="preserve">Subsection 2.6.2—15(2) provides that if a nutrition content claim made under subsection 2.6.2—15(1) is about </w:t>
      </w:r>
      <w:r w:rsidRPr="00EF797C">
        <w:t>the presence of one or more prescribed electrolytes</w:t>
      </w:r>
      <w:r>
        <w:t>:</w:t>
      </w:r>
    </w:p>
    <w:p w14:paraId="28DF4DE0" w14:textId="77777777" w:rsidR="00017CEA" w:rsidRDefault="00017CEA" w:rsidP="00017CEA">
      <w:pPr>
        <w:jc w:val="both"/>
      </w:pPr>
    </w:p>
    <w:p w14:paraId="19BB5C29" w14:textId="77777777" w:rsidR="00017CEA" w:rsidRPr="00C816B9" w:rsidRDefault="00017CEA" w:rsidP="00017CEA">
      <w:pPr>
        <w:pStyle w:val="ListParagraph"/>
        <w:numPr>
          <w:ilvl w:val="0"/>
          <w:numId w:val="21"/>
        </w:numPr>
        <w:jc w:val="both"/>
        <w:rPr>
          <w:rFonts w:eastAsia="Times New Roman" w:cs="Times New Roman"/>
          <w:szCs w:val="24"/>
          <w:lang w:bidi="en-US"/>
        </w:rPr>
      </w:pPr>
      <w:r w:rsidRPr="00C816B9">
        <w:rPr>
          <w:rFonts w:eastAsia="Times New Roman" w:cs="Times New Roman"/>
          <w:szCs w:val="24"/>
          <w:lang w:bidi="en-US"/>
        </w:rPr>
        <w:t>the claim must only state that the electrolyte drink or electrolyte drink base contains one or both of the following:</w:t>
      </w:r>
    </w:p>
    <w:p w14:paraId="43CB618E" w14:textId="77777777" w:rsidR="00017CEA" w:rsidRPr="00300F57" w:rsidRDefault="00017CEA" w:rsidP="00017CEA">
      <w:pPr>
        <w:pStyle w:val="ListParagraph"/>
        <w:numPr>
          <w:ilvl w:val="0"/>
          <w:numId w:val="19"/>
        </w:numPr>
        <w:jc w:val="both"/>
        <w:rPr>
          <w:rFonts w:eastAsia="Times New Roman" w:cs="Times New Roman"/>
          <w:szCs w:val="24"/>
          <w:lang w:bidi="en-US"/>
        </w:rPr>
      </w:pPr>
      <w:r w:rsidRPr="00300F57">
        <w:rPr>
          <w:rFonts w:eastAsia="Times New Roman" w:cs="Times New Roman"/>
          <w:szCs w:val="24"/>
          <w:lang w:bidi="en-US"/>
        </w:rPr>
        <w:lastRenderedPageBreak/>
        <w:t xml:space="preserve">electrolytes (for example, ‘Contains electrolytes’);  </w:t>
      </w:r>
    </w:p>
    <w:p w14:paraId="6C6A5FCF" w14:textId="77777777" w:rsidR="00017CEA" w:rsidRPr="003878E7" w:rsidRDefault="00017CEA" w:rsidP="00017CEA">
      <w:pPr>
        <w:pStyle w:val="ListParagraph"/>
        <w:numPr>
          <w:ilvl w:val="0"/>
          <w:numId w:val="19"/>
        </w:numPr>
        <w:jc w:val="both"/>
        <w:rPr>
          <w:rFonts w:eastAsia="Times New Roman" w:cs="Times New Roman"/>
          <w:b/>
          <w:szCs w:val="24"/>
          <w:lang w:bidi="en-US"/>
        </w:rPr>
      </w:pPr>
      <w:r w:rsidRPr="00300F57">
        <w:rPr>
          <w:rFonts w:eastAsia="Times New Roman" w:cs="Times New Roman"/>
          <w:szCs w:val="24"/>
          <w:lang w:bidi="en-US"/>
        </w:rPr>
        <w:t>a prescribed electrolyte is present in the food, provided that the claim also states that the prescribed electrolyte is an electrolyte</w:t>
      </w:r>
      <w:r>
        <w:rPr>
          <w:rFonts w:eastAsia="Times New Roman" w:cs="Times New Roman"/>
          <w:szCs w:val="24"/>
          <w:lang w:bidi="en-US"/>
        </w:rPr>
        <w:t xml:space="preserve"> (for example, ‘</w:t>
      </w:r>
      <w:r w:rsidRPr="00F43152">
        <w:t>This food contains the electrolytes: calcium and sodium</w:t>
      </w:r>
      <w:r>
        <w:t>’)</w:t>
      </w:r>
      <w:r>
        <w:rPr>
          <w:rFonts w:eastAsia="Times New Roman" w:cs="Times New Roman"/>
          <w:szCs w:val="24"/>
          <w:lang w:bidi="en-US"/>
        </w:rPr>
        <w:t>; and</w:t>
      </w:r>
    </w:p>
    <w:p w14:paraId="47EA7AD7" w14:textId="77777777" w:rsidR="00017CEA" w:rsidRDefault="00017CEA" w:rsidP="00017CEA">
      <w:pPr>
        <w:jc w:val="both"/>
      </w:pPr>
    </w:p>
    <w:p w14:paraId="097760A7" w14:textId="77777777" w:rsidR="00017CEA" w:rsidRPr="00C816B9" w:rsidRDefault="00017CEA" w:rsidP="00017CEA">
      <w:pPr>
        <w:pStyle w:val="ListParagraph"/>
        <w:numPr>
          <w:ilvl w:val="0"/>
          <w:numId w:val="20"/>
        </w:numPr>
        <w:jc w:val="both"/>
        <w:rPr>
          <w:rFonts w:eastAsia="Times New Roman" w:cs="Times New Roman"/>
          <w:szCs w:val="24"/>
          <w:lang w:bidi="en-US"/>
        </w:rPr>
      </w:pPr>
      <w:r>
        <w:rPr>
          <w:rFonts w:eastAsia="Times New Roman" w:cs="Times New Roman"/>
          <w:szCs w:val="24"/>
          <w:lang w:bidi="en-US"/>
        </w:rPr>
        <w:t xml:space="preserve">any conditions for </w:t>
      </w:r>
      <w:r w:rsidRPr="00C816B9">
        <w:rPr>
          <w:rFonts w:eastAsia="Times New Roman" w:cs="Times New Roman"/>
          <w:szCs w:val="24"/>
          <w:lang w:bidi="en-US"/>
        </w:rPr>
        <w:t xml:space="preserve">nutrition content claims in Standard 1.2.7 </w:t>
      </w:r>
      <w:r>
        <w:rPr>
          <w:rFonts w:eastAsia="Times New Roman" w:cs="Times New Roman"/>
          <w:szCs w:val="24"/>
          <w:lang w:bidi="en-US"/>
        </w:rPr>
        <w:t>relating</w:t>
      </w:r>
      <w:r w:rsidRPr="00C816B9">
        <w:rPr>
          <w:rFonts w:eastAsia="Times New Roman" w:cs="Times New Roman"/>
          <w:szCs w:val="24"/>
          <w:lang w:bidi="en-US"/>
        </w:rPr>
        <w:t xml:space="preserve"> to a </w:t>
      </w:r>
      <w:r>
        <w:rPr>
          <w:rFonts w:eastAsia="Times New Roman" w:cs="Times New Roman"/>
          <w:szCs w:val="24"/>
          <w:lang w:bidi="en-US"/>
        </w:rPr>
        <w:t>prescribed</w:t>
      </w:r>
      <w:r w:rsidRPr="00C816B9">
        <w:rPr>
          <w:rFonts w:eastAsia="Times New Roman" w:cs="Times New Roman"/>
          <w:szCs w:val="24"/>
          <w:lang w:bidi="en-US"/>
        </w:rPr>
        <w:t xml:space="preserve"> electrolyte present in the food do not apply to the nutrition content claim</w:t>
      </w:r>
      <w:r>
        <w:rPr>
          <w:rFonts w:eastAsia="Times New Roman" w:cs="Times New Roman"/>
          <w:szCs w:val="24"/>
          <w:lang w:bidi="en-US"/>
        </w:rPr>
        <w:t xml:space="preserve"> (this is because, as stated above, some substances listed as ‘prescribed electrolytes’ </w:t>
      </w:r>
      <w:r w:rsidRPr="001E3898">
        <w:rPr>
          <w:rFonts w:eastAsia="Times New Roman" w:cs="Times New Roman"/>
          <w:szCs w:val="24"/>
          <w:lang w:bidi="en-US"/>
        </w:rPr>
        <w:t>in s</w:t>
      </w:r>
      <w:r>
        <w:rPr>
          <w:rFonts w:eastAsia="Times New Roman" w:cs="Times New Roman"/>
          <w:szCs w:val="24"/>
          <w:lang w:bidi="en-US"/>
        </w:rPr>
        <w:t>ubs</w:t>
      </w:r>
      <w:r w:rsidRPr="001E3898">
        <w:rPr>
          <w:rFonts w:eastAsia="Times New Roman" w:cs="Times New Roman"/>
          <w:szCs w:val="24"/>
          <w:lang w:bidi="en-US"/>
        </w:rPr>
        <w:t>ection 2.6.2—10</w:t>
      </w:r>
      <w:r>
        <w:rPr>
          <w:rFonts w:eastAsia="Times New Roman" w:cs="Times New Roman"/>
          <w:szCs w:val="24"/>
          <w:lang w:bidi="en-US"/>
        </w:rPr>
        <w:t>(1)</w:t>
      </w:r>
      <w:r w:rsidRPr="001E3898">
        <w:rPr>
          <w:rFonts w:eastAsia="Times New Roman" w:cs="Times New Roman"/>
          <w:szCs w:val="24"/>
          <w:lang w:bidi="en-US"/>
        </w:rPr>
        <w:t xml:space="preserve"> </w:t>
      </w:r>
      <w:r>
        <w:rPr>
          <w:rFonts w:eastAsia="Times New Roman" w:cs="Times New Roman"/>
          <w:szCs w:val="24"/>
          <w:lang w:bidi="en-US"/>
        </w:rPr>
        <w:t>are also ‘minerals’ for the purposes of requirements elsewhere in the Code, for example, Standard 1.2.7).</w:t>
      </w:r>
    </w:p>
    <w:p w14:paraId="43C39247" w14:textId="77777777" w:rsidR="00017CEA" w:rsidRPr="00EA042D" w:rsidRDefault="00017CEA" w:rsidP="00017CEA">
      <w:pPr>
        <w:jc w:val="both"/>
        <w:rPr>
          <w:b/>
        </w:rPr>
      </w:pPr>
    </w:p>
    <w:p w14:paraId="40CF7CB1" w14:textId="77777777" w:rsidR="00017CEA" w:rsidRDefault="00017CEA" w:rsidP="00017CEA">
      <w:pPr>
        <w:jc w:val="both"/>
      </w:pPr>
      <w:r w:rsidRPr="0070139A">
        <w:rPr>
          <w:i/>
        </w:rPr>
        <w:t>Section 2.6.2—16</w:t>
      </w:r>
      <w:r w:rsidRPr="0070139A">
        <w:t xml:space="preserve"> </w:t>
      </w:r>
      <w:r>
        <w:t>contains the following requirements and limitations for health claims about electrolyte drinks and electrolyte drink bases.</w:t>
      </w:r>
    </w:p>
    <w:p w14:paraId="72EF7667" w14:textId="77777777" w:rsidR="00017CEA" w:rsidRDefault="00017CEA" w:rsidP="00017CEA">
      <w:pPr>
        <w:jc w:val="both"/>
      </w:pPr>
    </w:p>
    <w:p w14:paraId="679E4108" w14:textId="77777777" w:rsidR="00017CEA" w:rsidRDefault="00017CEA" w:rsidP="00017CEA">
      <w:pPr>
        <w:jc w:val="both"/>
      </w:pPr>
      <w:r>
        <w:t xml:space="preserve">Subsection 2.6.2—16(1) provides that </w:t>
      </w:r>
      <w:r w:rsidRPr="00CB7686">
        <w:t>Standard 1.2.7 does not apply to a health claim made about an electrolyte drink or electrolyte drink base.</w:t>
      </w:r>
    </w:p>
    <w:p w14:paraId="3D31B43C" w14:textId="77777777" w:rsidR="00017CEA" w:rsidRDefault="00017CEA" w:rsidP="00017CEA">
      <w:pPr>
        <w:jc w:val="both"/>
      </w:pPr>
    </w:p>
    <w:p w14:paraId="36DC43F4" w14:textId="77777777" w:rsidR="00017CEA" w:rsidRDefault="00017CEA" w:rsidP="00017CEA">
      <w:pPr>
        <w:jc w:val="both"/>
      </w:pPr>
      <w:r>
        <w:t>‘Health claim’ is defined in subsection 1.1.2—2(3) [see subitem 3.2 of the amended draft variation].</w:t>
      </w:r>
    </w:p>
    <w:p w14:paraId="3B27BF88" w14:textId="77777777" w:rsidR="00017CEA" w:rsidRDefault="00017CEA" w:rsidP="00017CEA">
      <w:pPr>
        <w:jc w:val="both"/>
      </w:pPr>
    </w:p>
    <w:p w14:paraId="7EEBA0B7" w14:textId="77777777" w:rsidR="00017CEA" w:rsidRDefault="00017CEA" w:rsidP="00017CEA">
      <w:pPr>
        <w:jc w:val="both"/>
      </w:pPr>
      <w:r>
        <w:t>Subsection 2.6.2—16(2) only allows health claims to be made if both of the following conditions are satisfied:</w:t>
      </w:r>
    </w:p>
    <w:p w14:paraId="3081844B" w14:textId="77777777" w:rsidR="00017CEA" w:rsidRDefault="00017CEA" w:rsidP="00017CEA">
      <w:pPr>
        <w:jc w:val="both"/>
      </w:pPr>
    </w:p>
    <w:p w14:paraId="73BCF5CD" w14:textId="77777777" w:rsidR="00017CEA" w:rsidRPr="00CB7686" w:rsidRDefault="00017CEA" w:rsidP="00017CEA">
      <w:pPr>
        <w:pStyle w:val="ListParagraph"/>
        <w:numPr>
          <w:ilvl w:val="0"/>
          <w:numId w:val="20"/>
        </w:numPr>
        <w:jc w:val="both"/>
        <w:rPr>
          <w:rFonts w:eastAsia="Times New Roman" w:cs="Times New Roman"/>
          <w:szCs w:val="24"/>
          <w:lang w:bidi="en-US"/>
        </w:rPr>
      </w:pPr>
      <w:r w:rsidRPr="00CB7686">
        <w:rPr>
          <w:rFonts w:eastAsia="Times New Roman" w:cs="Times New Roman"/>
          <w:szCs w:val="24"/>
          <w:lang w:bidi="en-US"/>
        </w:rPr>
        <w:t>the food has an average osmolality of 200–340 mOsmol/kg; and</w:t>
      </w:r>
    </w:p>
    <w:p w14:paraId="332EC165" w14:textId="77777777" w:rsidR="00017CEA" w:rsidRPr="00CB7686" w:rsidRDefault="00017CEA" w:rsidP="00017CEA">
      <w:pPr>
        <w:pStyle w:val="ListParagraph"/>
        <w:numPr>
          <w:ilvl w:val="0"/>
          <w:numId w:val="20"/>
        </w:numPr>
        <w:jc w:val="both"/>
        <w:rPr>
          <w:rFonts w:eastAsia="Times New Roman" w:cs="Times New Roman"/>
          <w:szCs w:val="24"/>
          <w:lang w:bidi="en-US"/>
        </w:rPr>
      </w:pPr>
      <w:r w:rsidRPr="00CB7686">
        <w:rPr>
          <w:rFonts w:eastAsia="Times New Roman" w:cs="Times New Roman"/>
          <w:szCs w:val="24"/>
          <w:lang w:bidi="en-US"/>
        </w:rPr>
        <w:t>the claim is about any of the following:</w:t>
      </w:r>
    </w:p>
    <w:p w14:paraId="23BE065A" w14:textId="77777777" w:rsidR="00017CEA" w:rsidRPr="00CB7686" w:rsidRDefault="00017CEA" w:rsidP="00017CEA">
      <w:pPr>
        <w:pStyle w:val="ListParagraph"/>
        <w:numPr>
          <w:ilvl w:val="0"/>
          <w:numId w:val="22"/>
        </w:numPr>
        <w:jc w:val="both"/>
        <w:rPr>
          <w:rFonts w:eastAsia="Times New Roman" w:cs="Times New Roman"/>
          <w:szCs w:val="24"/>
          <w:lang w:bidi="en-US"/>
        </w:rPr>
      </w:pPr>
      <w:r w:rsidRPr="00CB7686">
        <w:rPr>
          <w:rFonts w:eastAsia="Times New Roman" w:cs="Times New Roman"/>
          <w:szCs w:val="24"/>
          <w:lang w:bidi="en-US"/>
        </w:rPr>
        <w:t>rapid rehydration in association with words to the effect of ‘after at least 60 minutes or more of strenuous physical activity’;</w:t>
      </w:r>
    </w:p>
    <w:p w14:paraId="4C06692F" w14:textId="77777777" w:rsidR="00017CEA" w:rsidRPr="00CB7686" w:rsidRDefault="00017CEA" w:rsidP="00017CEA">
      <w:pPr>
        <w:pStyle w:val="ListParagraph"/>
        <w:numPr>
          <w:ilvl w:val="0"/>
          <w:numId w:val="22"/>
        </w:numPr>
        <w:jc w:val="both"/>
        <w:rPr>
          <w:rFonts w:eastAsia="Times New Roman" w:cs="Times New Roman"/>
          <w:szCs w:val="24"/>
          <w:lang w:bidi="en-US"/>
        </w:rPr>
      </w:pPr>
      <w:r w:rsidRPr="00CB7686">
        <w:rPr>
          <w:rFonts w:eastAsia="Times New Roman" w:cs="Times New Roman"/>
          <w:szCs w:val="24"/>
          <w:lang w:bidi="en-US"/>
        </w:rPr>
        <w:t>rapid hydration in association with words to the effect of ‘during at least 60 minutes or more of strenuous physical activity’;</w:t>
      </w:r>
    </w:p>
    <w:p w14:paraId="2CFE1CA6" w14:textId="77777777" w:rsidR="00017CEA" w:rsidRPr="00CB7686" w:rsidRDefault="00017CEA" w:rsidP="00017CEA">
      <w:pPr>
        <w:pStyle w:val="ListParagraph"/>
        <w:numPr>
          <w:ilvl w:val="0"/>
          <w:numId w:val="22"/>
        </w:numPr>
        <w:jc w:val="both"/>
        <w:rPr>
          <w:rFonts w:eastAsia="Times New Roman" w:cs="Times New Roman"/>
          <w:szCs w:val="24"/>
          <w:lang w:bidi="en-US"/>
        </w:rPr>
      </w:pPr>
      <w:r w:rsidRPr="00CB7686">
        <w:rPr>
          <w:rFonts w:eastAsia="Times New Roman" w:cs="Times New Roman"/>
          <w:szCs w:val="24"/>
          <w:lang w:bidi="en-US"/>
        </w:rPr>
        <w:t>contribution to the maintenance of performance by rapid hydration in association with words to the effect of ‘during at least 60 minutes or more of strenuous physical activity’.</w:t>
      </w:r>
    </w:p>
    <w:p w14:paraId="2B9DC75A" w14:textId="77777777" w:rsidR="00017CEA" w:rsidRDefault="00017CEA" w:rsidP="00017CEA">
      <w:pPr>
        <w:jc w:val="both"/>
      </w:pPr>
    </w:p>
    <w:p w14:paraId="6FC47299" w14:textId="3B4B3737" w:rsidR="00017CEA" w:rsidRDefault="00017CEA" w:rsidP="00017CEA">
      <w:pPr>
        <w:jc w:val="both"/>
      </w:pPr>
      <w:r>
        <w:t xml:space="preserve">Subsection 2.6.2—16(3) requires that where a health claim is made under subsection 2.6.2—16(2), </w:t>
      </w:r>
      <w:r w:rsidRPr="00D7581C">
        <w:t>the amount of time must be expressed only as a quantifiable amount of time.</w:t>
      </w:r>
      <w:r>
        <w:t xml:space="preserve"> For example, ‘60 minutes’ or ‘</w:t>
      </w:r>
      <w:r w:rsidRPr="00D7581C">
        <w:t>sixty minutes’; ‘1 hour’ or ‘one hour’.</w:t>
      </w:r>
    </w:p>
    <w:p w14:paraId="0B468FDE" w14:textId="77777777" w:rsidR="00017CEA" w:rsidRDefault="00017CEA" w:rsidP="00017CEA">
      <w:pPr>
        <w:jc w:val="both"/>
      </w:pPr>
    </w:p>
    <w:p w14:paraId="2D09DEFD" w14:textId="5052C8F2" w:rsidR="00017CEA" w:rsidRDefault="00017CEA" w:rsidP="00017CEA">
      <w:pPr>
        <w:jc w:val="both"/>
      </w:pPr>
      <w:r>
        <w:t xml:space="preserve">Subsection 2.6.2—16(4) clarifies that, </w:t>
      </w:r>
      <w:r w:rsidRPr="00F768D2">
        <w:rPr>
          <w:i/>
        </w:rPr>
        <w:t>subject to subsection</w:t>
      </w:r>
      <w:r>
        <w:rPr>
          <w:i/>
        </w:rPr>
        <w:t xml:space="preserve"> </w:t>
      </w:r>
      <w:r w:rsidRPr="00F768D2">
        <w:rPr>
          <w:i/>
        </w:rPr>
        <w:t>2.6.2—16(3)</w:t>
      </w:r>
      <w:r w:rsidRPr="00F768D2">
        <w:t xml:space="preserve">, nothing in </w:t>
      </w:r>
      <w:r>
        <w:t xml:space="preserve">section 2.6.2—16 </w:t>
      </w:r>
      <w:r w:rsidRPr="00F768D2">
        <w:t>is to be taken to prescribe the words t</w:t>
      </w:r>
      <w:r>
        <w:t xml:space="preserve">hat must be used when making a </w:t>
      </w:r>
      <w:r w:rsidRPr="00F768D2">
        <w:t xml:space="preserve">health claim under </w:t>
      </w:r>
      <w:r>
        <w:t xml:space="preserve">this </w:t>
      </w:r>
      <w:r w:rsidRPr="00F768D2">
        <w:t>section.</w:t>
      </w:r>
      <w:r>
        <w:t xml:space="preserve"> For example, one may state </w:t>
      </w:r>
      <w:r w:rsidRPr="00E65557">
        <w:t>‘exercise’</w:t>
      </w:r>
      <w:r>
        <w:t xml:space="preserve"> instead of ‘physical activity’.</w:t>
      </w:r>
    </w:p>
    <w:p w14:paraId="6EBC513F" w14:textId="77777777" w:rsidR="00017CEA" w:rsidRDefault="00017CEA" w:rsidP="00017CEA">
      <w:pPr>
        <w:jc w:val="both"/>
      </w:pPr>
    </w:p>
    <w:p w14:paraId="4985C6B6" w14:textId="77777777" w:rsidR="00017CEA" w:rsidRDefault="00017CEA" w:rsidP="00017CEA">
      <w:pPr>
        <w:jc w:val="both"/>
      </w:pPr>
      <w:r w:rsidRPr="001E57AB">
        <w:rPr>
          <w:i/>
        </w:rPr>
        <w:t>Section 2.6.2—17</w:t>
      </w:r>
      <w:r>
        <w:t xml:space="preserve"> contains the following requirements for making a claim </w:t>
      </w:r>
      <w:r w:rsidRPr="005D4BF7">
        <w:t xml:space="preserve">in relation to the tonicity of </w:t>
      </w:r>
      <w:r>
        <w:t xml:space="preserve">an </w:t>
      </w:r>
      <w:r w:rsidRPr="005D4BF7">
        <w:t>electrolyte drink</w:t>
      </w:r>
      <w:r>
        <w:t>.</w:t>
      </w:r>
    </w:p>
    <w:p w14:paraId="2C251274" w14:textId="77777777" w:rsidR="00017CEA" w:rsidRDefault="00017CEA" w:rsidP="00017CEA">
      <w:pPr>
        <w:jc w:val="both"/>
      </w:pPr>
    </w:p>
    <w:p w14:paraId="2541B9EB" w14:textId="77777777" w:rsidR="00017CEA" w:rsidRDefault="00017CEA" w:rsidP="00017CEA">
      <w:pPr>
        <w:jc w:val="both"/>
      </w:pPr>
      <w:r>
        <w:t xml:space="preserve">‘Claim’ is defined in subsection 1.1.2—2(3) [see subitem 3.2 of the amended draft variation]. </w:t>
      </w:r>
    </w:p>
    <w:p w14:paraId="658634AD" w14:textId="77777777" w:rsidR="00017CEA" w:rsidRDefault="00017CEA" w:rsidP="00017CEA">
      <w:pPr>
        <w:jc w:val="both"/>
      </w:pPr>
    </w:p>
    <w:p w14:paraId="689FB58D" w14:textId="77777777" w:rsidR="00017CEA" w:rsidRDefault="00017CEA" w:rsidP="00017CEA">
      <w:pPr>
        <w:jc w:val="both"/>
      </w:pPr>
      <w:r>
        <w:t>Subsection 2.6.2—17(1) only allows a c</w:t>
      </w:r>
      <w:r w:rsidRPr="001E57AB">
        <w:t xml:space="preserve">laim </w:t>
      </w:r>
      <w:r>
        <w:t xml:space="preserve">to be made </w:t>
      </w:r>
      <w:r w:rsidRPr="001E57AB">
        <w:t>that an electrolyte drink is isotonic if the electrolyte drink has an average osmolality of 250–340 mOsmol/kg.</w:t>
      </w:r>
    </w:p>
    <w:p w14:paraId="5204C0DB" w14:textId="77777777" w:rsidR="00017CEA" w:rsidRDefault="00017CEA" w:rsidP="00017CEA">
      <w:pPr>
        <w:jc w:val="both"/>
      </w:pPr>
    </w:p>
    <w:p w14:paraId="1B677B36" w14:textId="77777777" w:rsidR="00017CEA" w:rsidRDefault="00017CEA" w:rsidP="00017CEA">
      <w:pPr>
        <w:jc w:val="both"/>
      </w:pPr>
      <w:r>
        <w:lastRenderedPageBreak/>
        <w:t xml:space="preserve">Subsection 2.6.2—17(2) requires that </w:t>
      </w:r>
      <w:r w:rsidRPr="000D7626">
        <w:t xml:space="preserve">a declaration of the osmolality of the electrolyte drink, </w:t>
      </w:r>
      <w:r>
        <w:t>(</w:t>
      </w:r>
      <w:r w:rsidRPr="000D7626">
        <w:t>expressed in mOsm/L</w:t>
      </w:r>
      <w:r>
        <w:t xml:space="preserve">) be made for </w:t>
      </w:r>
      <w:r w:rsidRPr="000D7626">
        <w:t xml:space="preserve">the labelling provisions </w:t>
      </w:r>
      <w:r>
        <w:t xml:space="preserve">if a </w:t>
      </w:r>
      <w:r w:rsidRPr="000D7626">
        <w:t xml:space="preserve">claim is made that </w:t>
      </w:r>
      <w:r>
        <w:t>an electrolyte</w:t>
      </w:r>
      <w:r w:rsidRPr="000D7626">
        <w:t xml:space="preserve"> drink is isotonic, hypertonic or hypotonic</w:t>
      </w:r>
      <w:r>
        <w:t>.</w:t>
      </w:r>
    </w:p>
    <w:p w14:paraId="6BEE7E70" w14:textId="77777777" w:rsidR="00017CEA" w:rsidRDefault="00017CEA" w:rsidP="00017CEA">
      <w:pPr>
        <w:jc w:val="both"/>
      </w:pPr>
    </w:p>
    <w:p w14:paraId="377574E4" w14:textId="77777777" w:rsidR="00017CEA" w:rsidRDefault="00017CEA" w:rsidP="00017CEA">
      <w:pPr>
        <w:jc w:val="both"/>
      </w:pPr>
      <w:r>
        <w:t xml:space="preserve">A </w:t>
      </w:r>
      <w:r w:rsidRPr="000D7626">
        <w:rPr>
          <w:i/>
        </w:rPr>
        <w:t>Note</w:t>
      </w:r>
      <w:r>
        <w:t xml:space="preserve"> to the subsection explains that the </w:t>
      </w:r>
      <w:r w:rsidRPr="000D7626">
        <w:t>labelling provisions are set out in Standard 1.2.1.</w:t>
      </w:r>
    </w:p>
    <w:p w14:paraId="30121F61" w14:textId="77777777" w:rsidR="00017CEA" w:rsidRDefault="00017CEA" w:rsidP="00017CEA">
      <w:pPr>
        <w:jc w:val="both"/>
      </w:pPr>
    </w:p>
    <w:p w14:paraId="424A89D4" w14:textId="77777777" w:rsidR="00017CEA" w:rsidRPr="0036775F" w:rsidRDefault="00017CEA" w:rsidP="00017CEA">
      <w:pPr>
        <w:jc w:val="both"/>
      </w:pPr>
      <w:r w:rsidRPr="0036775F">
        <w:rPr>
          <w:i/>
        </w:rPr>
        <w:t xml:space="preserve">Section 2.6.2—18 </w:t>
      </w:r>
      <w:r w:rsidRPr="0036775F">
        <w:t>states that subsection 1.2.8—6(12) does not apply to a claim requiring nutrition information that is made in relation to salt or sodium in an electrolyte drink or electrolyte drink base.</w:t>
      </w:r>
    </w:p>
    <w:p w14:paraId="40966FB2" w14:textId="77777777" w:rsidR="00017CEA" w:rsidRPr="0036775F" w:rsidRDefault="00017CEA" w:rsidP="00017CEA">
      <w:pPr>
        <w:jc w:val="both"/>
      </w:pPr>
    </w:p>
    <w:p w14:paraId="6647C5CC" w14:textId="77777777" w:rsidR="00017CEA" w:rsidRDefault="00017CEA" w:rsidP="00017CEA">
      <w:pPr>
        <w:jc w:val="both"/>
      </w:pPr>
      <w:r w:rsidRPr="0036775F">
        <w:t xml:space="preserve">A </w:t>
      </w:r>
      <w:r w:rsidRPr="0036775F">
        <w:rPr>
          <w:i/>
        </w:rPr>
        <w:t xml:space="preserve">Note </w:t>
      </w:r>
      <w:r w:rsidRPr="0036775F">
        <w:t>to the section explains that subsection 1.2.8—6(12) provides that, if a claim requiring nutrition information is made in relation to salt or sodium in a food product, the nutrition information panel for that product must include a declaration of the average quantity of potassium in accordance with section S12—3.</w:t>
      </w:r>
    </w:p>
    <w:p w14:paraId="6A7BFD8C" w14:textId="77777777" w:rsidR="00017CEA" w:rsidRDefault="00017CEA" w:rsidP="00017CEA">
      <w:pPr>
        <w:jc w:val="both"/>
      </w:pPr>
    </w:p>
    <w:p w14:paraId="31BAC6EA" w14:textId="77777777" w:rsidR="00017CEA" w:rsidRDefault="00017CEA" w:rsidP="00017CEA">
      <w:pPr>
        <w:autoSpaceDE w:val="0"/>
        <w:autoSpaceDN w:val="0"/>
        <w:adjustRightInd w:val="0"/>
        <w:rPr>
          <w:rFonts w:cs="Arial"/>
          <w:b/>
          <w:bCs/>
          <w:i/>
          <w:iCs/>
          <w:color w:val="000000"/>
        </w:rPr>
      </w:pPr>
      <w:r w:rsidRPr="004C0DF9">
        <w:rPr>
          <w:rFonts w:cs="Arial"/>
          <w:b/>
          <w:bCs/>
          <w:i/>
          <w:iCs/>
          <w:color w:val="000000"/>
        </w:rPr>
        <w:t xml:space="preserve">Transitional arrangements </w:t>
      </w:r>
    </w:p>
    <w:p w14:paraId="656DDDCA" w14:textId="77777777" w:rsidR="00017CEA" w:rsidRPr="004C0DF9" w:rsidRDefault="00017CEA" w:rsidP="00017CEA">
      <w:pPr>
        <w:autoSpaceDE w:val="0"/>
        <w:autoSpaceDN w:val="0"/>
        <w:adjustRightInd w:val="0"/>
        <w:rPr>
          <w:rFonts w:cs="Arial"/>
          <w:color w:val="000000"/>
        </w:rPr>
      </w:pPr>
    </w:p>
    <w:p w14:paraId="42E285F8" w14:textId="77777777" w:rsidR="00017CEA" w:rsidRDefault="00017CEA" w:rsidP="00017CEA">
      <w:pPr>
        <w:autoSpaceDE w:val="0"/>
        <w:autoSpaceDN w:val="0"/>
        <w:adjustRightInd w:val="0"/>
        <w:rPr>
          <w:rFonts w:cs="Arial"/>
          <w:color w:val="000000"/>
        </w:rPr>
      </w:pPr>
      <w:r w:rsidRPr="004C0DF9">
        <w:rPr>
          <w:rFonts w:cs="Arial"/>
          <w:color w:val="000000"/>
        </w:rPr>
        <w:t xml:space="preserve">The above variations will commence or take effect on the date of gazettal. See clause 3 of the instrument of variation. </w:t>
      </w:r>
    </w:p>
    <w:p w14:paraId="073A510A" w14:textId="77777777" w:rsidR="00017CEA" w:rsidRPr="004C0DF9" w:rsidRDefault="00017CEA" w:rsidP="00017CEA">
      <w:pPr>
        <w:autoSpaceDE w:val="0"/>
        <w:autoSpaceDN w:val="0"/>
        <w:adjustRightInd w:val="0"/>
        <w:rPr>
          <w:rFonts w:cs="Arial"/>
          <w:color w:val="000000"/>
        </w:rPr>
      </w:pPr>
    </w:p>
    <w:p w14:paraId="6343AD38" w14:textId="77777777" w:rsidR="00017CEA" w:rsidRDefault="00017CEA" w:rsidP="00017CEA">
      <w:pPr>
        <w:autoSpaceDE w:val="0"/>
        <w:autoSpaceDN w:val="0"/>
        <w:adjustRightInd w:val="0"/>
        <w:rPr>
          <w:rFonts w:cs="Arial"/>
          <w:color w:val="000000"/>
        </w:rPr>
      </w:pPr>
      <w:r w:rsidRPr="004C0DF9">
        <w:rPr>
          <w:rFonts w:cs="Arial"/>
          <w:color w:val="000000"/>
        </w:rPr>
        <w:t xml:space="preserve">The stock-in-trade exemption provided by section 1.1.1—9 of Standard 1.1.1 will not apply to any of the above variations. See clause 4 of the instrument of variation. </w:t>
      </w:r>
    </w:p>
    <w:p w14:paraId="36592D36" w14:textId="77777777" w:rsidR="00017CEA" w:rsidRPr="004C0DF9" w:rsidRDefault="00017CEA" w:rsidP="00017CEA">
      <w:pPr>
        <w:autoSpaceDE w:val="0"/>
        <w:autoSpaceDN w:val="0"/>
        <w:adjustRightInd w:val="0"/>
        <w:rPr>
          <w:rFonts w:cs="Arial"/>
          <w:color w:val="000000"/>
        </w:rPr>
      </w:pPr>
    </w:p>
    <w:p w14:paraId="66A2CF0D" w14:textId="6FFD8719" w:rsidR="00C129FC" w:rsidRDefault="00017CEA" w:rsidP="003214BE">
      <w:pPr>
        <w:jc w:val="both"/>
        <w:rPr>
          <w:lang w:bidi="ar-SA"/>
        </w:rPr>
      </w:pPr>
      <w:r w:rsidRPr="004C0DF9">
        <w:rPr>
          <w:rFonts w:cs="Arial"/>
          <w:color w:val="000000"/>
        </w:rPr>
        <w:t xml:space="preserve">Clause 4 provides </w:t>
      </w:r>
      <w:r>
        <w:rPr>
          <w:rFonts w:cs="Arial"/>
          <w:color w:val="000000"/>
        </w:rPr>
        <w:t>a transitional arrangement</w:t>
      </w:r>
      <w:r w:rsidRPr="004C0DF9">
        <w:rPr>
          <w:rFonts w:cs="Arial"/>
          <w:color w:val="000000"/>
        </w:rPr>
        <w:t xml:space="preserve"> where</w:t>
      </w:r>
      <w:r>
        <w:rPr>
          <w:rFonts w:cs="Arial"/>
          <w:color w:val="000000"/>
        </w:rPr>
        <w:t>,</w:t>
      </w:r>
      <w:r w:rsidRPr="004C0DF9">
        <w:rPr>
          <w:rFonts w:cs="Arial"/>
          <w:color w:val="000000"/>
        </w:rPr>
        <w:t xml:space="preserve"> during </w:t>
      </w:r>
      <w:r>
        <w:rPr>
          <w:rFonts w:cs="Arial"/>
          <w:color w:val="000000"/>
        </w:rPr>
        <w:t>a 12 month</w:t>
      </w:r>
      <w:r w:rsidRPr="004C0DF9">
        <w:rPr>
          <w:rFonts w:cs="Arial"/>
          <w:color w:val="000000"/>
        </w:rPr>
        <w:t xml:space="preserve"> transition period commencing on the date of gazettal, </w:t>
      </w:r>
      <w:r w:rsidRPr="00CB7686">
        <w:t>an electrolyte drink or electrolyte drink base</w:t>
      </w:r>
      <w:r w:rsidRPr="004C0DF9">
        <w:rPr>
          <w:rFonts w:cs="Arial"/>
          <w:color w:val="000000"/>
        </w:rPr>
        <w:t xml:space="preserve"> may be sold if </w:t>
      </w:r>
      <w:r w:rsidRPr="00CB7686">
        <w:t>an electrolyte drink or electrolyte drink base</w:t>
      </w:r>
      <w:r w:rsidRPr="004C0DF9">
        <w:rPr>
          <w:rFonts w:cs="Arial"/>
          <w:color w:val="000000"/>
        </w:rPr>
        <w:t xml:space="preserve"> complies with either the Code as in force without the amendments made by the </w:t>
      </w:r>
      <w:r w:rsidR="00EB061F">
        <w:rPr>
          <w:rFonts w:cs="Arial"/>
          <w:color w:val="000000"/>
        </w:rPr>
        <w:t xml:space="preserve">amended </w:t>
      </w:r>
      <w:r w:rsidRPr="004C0DF9">
        <w:rPr>
          <w:rFonts w:cs="Arial"/>
          <w:color w:val="000000"/>
        </w:rPr>
        <w:t xml:space="preserve">draft variation; or the Code as amended by the </w:t>
      </w:r>
      <w:r w:rsidR="00EB061F">
        <w:rPr>
          <w:rFonts w:cs="Arial"/>
          <w:color w:val="000000"/>
        </w:rPr>
        <w:t xml:space="preserve">amended </w:t>
      </w:r>
      <w:r w:rsidRPr="004C0DF9">
        <w:rPr>
          <w:rFonts w:cs="Arial"/>
          <w:color w:val="000000"/>
        </w:rPr>
        <w:t xml:space="preserve">draft variation. The intent is </w:t>
      </w:r>
      <w:r>
        <w:rPr>
          <w:rFonts w:cs="Arial"/>
          <w:color w:val="000000"/>
        </w:rPr>
        <w:t xml:space="preserve">to provide a 12 month transitional arrangement that covers both </w:t>
      </w:r>
      <w:r w:rsidR="004E2857">
        <w:rPr>
          <w:rFonts w:cs="Arial"/>
          <w:color w:val="000000"/>
        </w:rPr>
        <w:t>stock-in-</w:t>
      </w:r>
      <w:r>
        <w:rPr>
          <w:rFonts w:cs="Arial"/>
          <w:color w:val="000000"/>
        </w:rPr>
        <w:t>trade at the time of the commencement of the variations</w:t>
      </w:r>
      <w:r w:rsidR="004E2857">
        <w:rPr>
          <w:rFonts w:cs="Arial"/>
          <w:color w:val="000000"/>
        </w:rPr>
        <w:t>,</w:t>
      </w:r>
      <w:r>
        <w:rPr>
          <w:rFonts w:cs="Arial"/>
          <w:color w:val="000000"/>
        </w:rPr>
        <w:t xml:space="preserve"> as well as </w:t>
      </w:r>
      <w:r w:rsidRPr="00CB7686">
        <w:t>electrolyte drink</w:t>
      </w:r>
      <w:r>
        <w:t>s</w:t>
      </w:r>
      <w:r w:rsidRPr="00CB7686">
        <w:t xml:space="preserve"> or electrolyte drink base</w:t>
      </w:r>
      <w:r>
        <w:rPr>
          <w:rFonts w:cs="Arial"/>
          <w:color w:val="000000"/>
        </w:rPr>
        <w:t xml:space="preserve">s that are </w:t>
      </w:r>
      <w:r>
        <w:rPr>
          <w:lang w:val="en-AU" w:eastAsia="en-GB"/>
        </w:rPr>
        <w:t xml:space="preserve">packaged, </w:t>
      </w:r>
      <w:r w:rsidRPr="00DE680A">
        <w:rPr>
          <w:lang w:val="en-AU" w:eastAsia="en-GB"/>
        </w:rPr>
        <w:t xml:space="preserve">labelled </w:t>
      </w:r>
      <w:r>
        <w:rPr>
          <w:lang w:val="en-AU" w:eastAsia="en-GB"/>
        </w:rPr>
        <w:t xml:space="preserve">and made available for sale </w:t>
      </w:r>
      <w:r w:rsidRPr="004C0DF9">
        <w:rPr>
          <w:lang w:val="en-AU" w:eastAsia="en-GB"/>
        </w:rPr>
        <w:t>before</w:t>
      </w:r>
      <w:r w:rsidRPr="00DE680A">
        <w:rPr>
          <w:lang w:val="en-AU" w:eastAsia="en-GB"/>
        </w:rPr>
        <w:t xml:space="preserve"> the end of the transition period</w:t>
      </w:r>
      <w:r w:rsidRPr="004C0DF9">
        <w:rPr>
          <w:rFonts w:cs="Arial"/>
          <w:color w:val="000000"/>
        </w:rPr>
        <w:t>.</w:t>
      </w:r>
      <w:r w:rsidR="00C129FC">
        <w:rPr>
          <w:lang w:bidi="ar-SA"/>
        </w:rPr>
        <w:br w:type="page"/>
      </w:r>
    </w:p>
    <w:p w14:paraId="195634EF" w14:textId="0C50206D" w:rsidR="003C4969" w:rsidRPr="004E0CFB" w:rsidRDefault="003C4969" w:rsidP="00303F27">
      <w:pPr>
        <w:pStyle w:val="Heading2"/>
      </w:pPr>
      <w:bookmarkStart w:id="340" w:name="_Toc29883131"/>
      <w:bookmarkStart w:id="341" w:name="_Toc41906818"/>
      <w:bookmarkStart w:id="342" w:name="_Toc41907565"/>
      <w:bookmarkStart w:id="343" w:name="_Toc120358596"/>
      <w:bookmarkStart w:id="344" w:name="_Toc175381458"/>
      <w:bookmarkStart w:id="345" w:name="_Toc11735644"/>
      <w:bookmarkStart w:id="346" w:name="_Toc286391017"/>
      <w:bookmarkStart w:id="347" w:name="_Toc300933453"/>
      <w:bookmarkStart w:id="348" w:name="_Toc60825033"/>
      <w:bookmarkStart w:id="349" w:name="_Toc61442334"/>
      <w:bookmarkStart w:id="350" w:name="_Toc61449878"/>
      <w:bookmarkStart w:id="351" w:name="_Toc63342522"/>
      <w:bookmarkStart w:id="352" w:name="_Toc71711659"/>
      <w:bookmarkStart w:id="353" w:name="_Toc72673593"/>
      <w:r w:rsidRPr="004E0CFB">
        <w:lastRenderedPageBreak/>
        <w:t xml:space="preserve">Attachment </w:t>
      </w:r>
      <w:bookmarkStart w:id="354" w:name="_Toc120358597"/>
      <w:bookmarkStart w:id="355" w:name="_Toc175381459"/>
      <w:bookmarkEnd w:id="340"/>
      <w:bookmarkEnd w:id="341"/>
      <w:bookmarkEnd w:id="342"/>
      <w:bookmarkEnd w:id="343"/>
      <w:bookmarkEnd w:id="344"/>
      <w:bookmarkEnd w:id="345"/>
      <w:r w:rsidR="00EB0C7C" w:rsidRPr="004E0CFB">
        <w:t>C</w:t>
      </w:r>
      <w:r w:rsidR="007C174F" w:rsidRPr="004E0CFB">
        <w:t xml:space="preserve"> – </w:t>
      </w:r>
      <w:r w:rsidRPr="004E0CFB">
        <w:t>Draft variation to the Australia New Zealand Food Standards Code</w:t>
      </w:r>
      <w:bookmarkEnd w:id="346"/>
      <w:bookmarkEnd w:id="347"/>
      <w:bookmarkEnd w:id="354"/>
      <w:bookmarkEnd w:id="355"/>
      <w:r w:rsidR="00EB0C7C" w:rsidRPr="004E0CFB">
        <w:t xml:space="preserve"> at call for submissions</w:t>
      </w:r>
      <w:bookmarkEnd w:id="348"/>
      <w:bookmarkEnd w:id="349"/>
      <w:bookmarkEnd w:id="350"/>
      <w:bookmarkEnd w:id="351"/>
      <w:bookmarkEnd w:id="352"/>
      <w:bookmarkEnd w:id="353"/>
    </w:p>
    <w:p w14:paraId="7F79D75A" w14:textId="77777777" w:rsidR="00F43E18" w:rsidRPr="00C0014E" w:rsidRDefault="00F43E18" w:rsidP="00F43E18">
      <w:pPr>
        <w:widowControl/>
        <w:rPr>
          <w:noProof/>
          <w:sz w:val="20"/>
          <w:lang w:val="en-AU" w:eastAsia="en-AU"/>
        </w:rPr>
      </w:pPr>
      <w:bookmarkStart w:id="356" w:name="_Toc300933454"/>
      <w:r w:rsidRPr="00C0014E">
        <w:rPr>
          <w:noProof/>
          <w:sz w:val="20"/>
          <w:lang w:eastAsia="en-GB" w:bidi="ar-SA"/>
        </w:rPr>
        <w:drawing>
          <wp:inline distT="0" distB="0" distL="0" distR="0" wp14:anchorId="39E5D05C" wp14:editId="40773C41">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0047A550" w14:textId="77777777" w:rsidR="00F43E18" w:rsidRPr="006153A1" w:rsidRDefault="00F43E18" w:rsidP="00F43E18">
      <w:pPr>
        <w:pStyle w:val="Subclause"/>
        <w:widowControl/>
      </w:pPr>
    </w:p>
    <w:p w14:paraId="579DAD3A" w14:textId="77777777" w:rsidR="00F43E18" w:rsidRDefault="00F43E18" w:rsidP="00F43E18">
      <w:pPr>
        <w:widowControl/>
        <w:pBdr>
          <w:bottom w:val="single" w:sz="4" w:space="1" w:color="auto"/>
        </w:pBdr>
        <w:rPr>
          <w:b/>
          <w:sz w:val="20"/>
        </w:rPr>
      </w:pPr>
      <w:r w:rsidRPr="006153A1">
        <w:rPr>
          <w:b/>
          <w:sz w:val="20"/>
        </w:rPr>
        <w:t>Food Standards (</w:t>
      </w:r>
      <w:r w:rsidRPr="00F618DF">
        <w:rPr>
          <w:b/>
          <w:sz w:val="20"/>
        </w:rPr>
        <w:t>Proposal P</w:t>
      </w:r>
      <w:r>
        <w:rPr>
          <w:b/>
          <w:sz w:val="20"/>
        </w:rPr>
        <w:t>1030</w:t>
      </w:r>
      <w:r w:rsidRPr="00F618DF">
        <w:rPr>
          <w:b/>
          <w:sz w:val="20"/>
        </w:rPr>
        <w:t xml:space="preserve"> </w:t>
      </w:r>
      <w:r w:rsidRPr="00A32232">
        <w:rPr>
          <w:b/>
          <w:sz w:val="20"/>
        </w:rPr>
        <w:t xml:space="preserve">– </w:t>
      </w:r>
      <w:r>
        <w:rPr>
          <w:b/>
          <w:sz w:val="20"/>
        </w:rPr>
        <w:t>Health Claims – Formulated Supplementary Sports Foods &amp; Electrolyte Drinks)</w:t>
      </w:r>
      <w:r w:rsidRPr="00C0014E">
        <w:rPr>
          <w:b/>
          <w:sz w:val="20"/>
        </w:rPr>
        <w:t xml:space="preserve"> Variation</w:t>
      </w:r>
    </w:p>
    <w:p w14:paraId="570B68A1" w14:textId="77777777" w:rsidR="00F43E18" w:rsidRPr="00C0014E" w:rsidRDefault="00F43E18" w:rsidP="00F43E18">
      <w:pPr>
        <w:widowControl/>
        <w:pBdr>
          <w:bottom w:val="single" w:sz="4" w:space="1" w:color="auto"/>
        </w:pBdr>
        <w:rPr>
          <w:b/>
          <w:sz w:val="20"/>
        </w:rPr>
      </w:pPr>
    </w:p>
    <w:p w14:paraId="6BB9D98D" w14:textId="77777777" w:rsidR="00F43E18" w:rsidRPr="008F2616" w:rsidRDefault="00F43E18" w:rsidP="00F43E18">
      <w:pPr>
        <w:widowControl/>
        <w:rPr>
          <w:sz w:val="20"/>
        </w:rPr>
      </w:pPr>
    </w:p>
    <w:p w14:paraId="53DBFA18" w14:textId="77777777" w:rsidR="00F43E18" w:rsidRPr="008F2616" w:rsidRDefault="00F43E18" w:rsidP="00F43E18">
      <w:pPr>
        <w:widowControl/>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The Standard commences on the date specified in clause 3 of this variation.</w:t>
      </w:r>
    </w:p>
    <w:p w14:paraId="39165EEF" w14:textId="77777777" w:rsidR="00F43E18" w:rsidRPr="008F2616" w:rsidRDefault="00F43E18" w:rsidP="00F43E18">
      <w:pPr>
        <w:widowControl/>
        <w:rPr>
          <w:sz w:val="20"/>
        </w:rPr>
      </w:pPr>
    </w:p>
    <w:p w14:paraId="2A44C61A" w14:textId="77777777" w:rsidR="00F43E18" w:rsidRPr="008F2616" w:rsidRDefault="00F43E18" w:rsidP="00F43E18">
      <w:pPr>
        <w:widowControl/>
        <w:rPr>
          <w:sz w:val="20"/>
        </w:rPr>
      </w:pPr>
      <w:r w:rsidRPr="008F2616">
        <w:rPr>
          <w:sz w:val="20"/>
        </w:rPr>
        <w:t xml:space="preserve">Dated </w:t>
      </w:r>
      <w:r>
        <w:rPr>
          <w:sz w:val="20"/>
        </w:rPr>
        <w:t>[To be completed by Standards Management Officer]</w:t>
      </w:r>
    </w:p>
    <w:p w14:paraId="2B708DAB" w14:textId="77777777" w:rsidR="00F43E18" w:rsidRPr="008F2616" w:rsidRDefault="00F43E18" w:rsidP="00F43E18">
      <w:pPr>
        <w:widowControl/>
        <w:rPr>
          <w:sz w:val="20"/>
        </w:rPr>
      </w:pPr>
    </w:p>
    <w:p w14:paraId="17F791C5" w14:textId="77777777" w:rsidR="00F43E18" w:rsidRDefault="00F43E18" w:rsidP="00F43E18">
      <w:pPr>
        <w:widowControl/>
        <w:rPr>
          <w:sz w:val="20"/>
        </w:rPr>
      </w:pPr>
    </w:p>
    <w:p w14:paraId="0F9FF255" w14:textId="77777777" w:rsidR="00F43E18" w:rsidRDefault="00F43E18" w:rsidP="00F43E18">
      <w:pPr>
        <w:widowControl/>
        <w:rPr>
          <w:sz w:val="20"/>
        </w:rPr>
      </w:pPr>
    </w:p>
    <w:p w14:paraId="06207076" w14:textId="77777777" w:rsidR="00F43E18" w:rsidRPr="008F2616" w:rsidRDefault="00F43E18" w:rsidP="00F43E18">
      <w:pPr>
        <w:widowControl/>
        <w:rPr>
          <w:sz w:val="20"/>
        </w:rPr>
      </w:pPr>
    </w:p>
    <w:p w14:paraId="25872095" w14:textId="77777777" w:rsidR="00F43E18" w:rsidRPr="008F2616" w:rsidRDefault="00F43E18" w:rsidP="00F43E18">
      <w:pPr>
        <w:widowControl/>
        <w:rPr>
          <w:sz w:val="20"/>
        </w:rPr>
      </w:pPr>
    </w:p>
    <w:p w14:paraId="4BF9B311" w14:textId="77777777" w:rsidR="00F43E18" w:rsidRPr="008F2616" w:rsidRDefault="00F43E18" w:rsidP="00F43E18">
      <w:pPr>
        <w:widowControl/>
        <w:rPr>
          <w:sz w:val="20"/>
        </w:rPr>
      </w:pPr>
      <w:r w:rsidRPr="008F2616">
        <w:rPr>
          <w:sz w:val="20"/>
        </w:rPr>
        <w:t>Standards Management Officer</w:t>
      </w:r>
    </w:p>
    <w:p w14:paraId="45578332" w14:textId="77777777" w:rsidR="00F43E18" w:rsidRPr="008F2616" w:rsidRDefault="00F43E18" w:rsidP="00F43E18">
      <w:pPr>
        <w:widowControl/>
        <w:rPr>
          <w:sz w:val="20"/>
        </w:rPr>
      </w:pPr>
      <w:r w:rsidRPr="008F2616">
        <w:rPr>
          <w:sz w:val="20"/>
        </w:rPr>
        <w:t>Delegate of the Board of Food Standards Australia New Zealand</w:t>
      </w:r>
    </w:p>
    <w:p w14:paraId="4950DDD8" w14:textId="77777777" w:rsidR="00F43E18" w:rsidRDefault="00F43E18" w:rsidP="00F43E18">
      <w:pPr>
        <w:widowControl/>
        <w:rPr>
          <w:sz w:val="20"/>
        </w:rPr>
      </w:pPr>
    </w:p>
    <w:p w14:paraId="3E5B88A7" w14:textId="77777777" w:rsidR="00F43E18" w:rsidRDefault="00F43E18" w:rsidP="00F43E18">
      <w:pPr>
        <w:widowControl/>
        <w:rPr>
          <w:sz w:val="20"/>
        </w:rPr>
      </w:pPr>
    </w:p>
    <w:p w14:paraId="589638B2" w14:textId="77777777" w:rsidR="00F43E18" w:rsidRDefault="00F43E18" w:rsidP="00F43E18">
      <w:pPr>
        <w:widowControl/>
        <w:rPr>
          <w:sz w:val="20"/>
        </w:rPr>
      </w:pPr>
    </w:p>
    <w:p w14:paraId="1609F030" w14:textId="77777777" w:rsidR="00F43E18" w:rsidRDefault="00F43E18" w:rsidP="00F43E18">
      <w:pPr>
        <w:widowControl/>
        <w:rPr>
          <w:sz w:val="20"/>
        </w:rPr>
      </w:pPr>
    </w:p>
    <w:p w14:paraId="16502E04" w14:textId="77777777" w:rsidR="00F43E18" w:rsidRDefault="00F43E18" w:rsidP="00F43E18">
      <w:pPr>
        <w:widowControl/>
        <w:rPr>
          <w:sz w:val="20"/>
        </w:rPr>
      </w:pPr>
    </w:p>
    <w:p w14:paraId="1D021B5C" w14:textId="77777777" w:rsidR="00F43E18" w:rsidRPr="00574DE1" w:rsidRDefault="00F43E18" w:rsidP="00F43E18">
      <w:pPr>
        <w:pStyle w:val="EditorialNoteLine1"/>
        <w:widowControl/>
        <w:rPr>
          <w:lang w:val="en-AU"/>
        </w:rPr>
      </w:pPr>
      <w:r w:rsidRPr="00574DE1">
        <w:rPr>
          <w:lang w:val="en-AU"/>
        </w:rPr>
        <w:t xml:space="preserve">Note:  </w:t>
      </w:r>
    </w:p>
    <w:p w14:paraId="74E04BF8" w14:textId="77777777" w:rsidR="00F43E18" w:rsidRPr="00574DE1" w:rsidRDefault="00F43E18" w:rsidP="00F43E18">
      <w:pPr>
        <w:pStyle w:val="EditorialNotetext"/>
        <w:widowControl/>
        <w:rPr>
          <w:lang w:val="en-AU"/>
        </w:rPr>
      </w:pPr>
    </w:p>
    <w:p w14:paraId="5BCF6819" w14:textId="77777777" w:rsidR="00F43E18" w:rsidRDefault="00F43E18" w:rsidP="00F43E18">
      <w:pPr>
        <w:pStyle w:val="EditorialNotetext"/>
        <w:widowControl/>
        <w:rPr>
          <w:lang w:val="en-AU"/>
        </w:rPr>
      </w:pPr>
      <w:r w:rsidRPr="00574DE1">
        <w:rPr>
          <w:lang w:val="en-AU"/>
        </w:rPr>
        <w:t xml:space="preserve">This variation will be published in the Commonwealth of Australia Gazette No. FSC </w:t>
      </w:r>
      <w:r w:rsidRPr="00574DE1">
        <w:rPr>
          <w:color w:val="FF0000"/>
          <w:lang w:val="en-AU"/>
        </w:rPr>
        <w:t>XX on XX Month 20XX</w:t>
      </w:r>
      <w:r w:rsidRPr="00574DE1">
        <w:rPr>
          <w:lang w:val="en-AU"/>
        </w:rPr>
        <w:t>. This means that this date is the gazettal date for the purposes of clause 3 of the variation.</w:t>
      </w:r>
      <w:r>
        <w:rPr>
          <w:lang w:val="en-AU"/>
        </w:rPr>
        <w:t xml:space="preserve"> </w:t>
      </w:r>
    </w:p>
    <w:p w14:paraId="3ED95C6D" w14:textId="77777777" w:rsidR="00F43E18" w:rsidRDefault="00F43E18" w:rsidP="00F43E18">
      <w:pPr>
        <w:widowControl/>
        <w:rPr>
          <w:sz w:val="20"/>
        </w:rPr>
      </w:pPr>
    </w:p>
    <w:p w14:paraId="33BB972B" w14:textId="77777777" w:rsidR="00F43E18" w:rsidRDefault="00F43E18" w:rsidP="00F43E18">
      <w:pPr>
        <w:widowControl/>
        <w:rPr>
          <w:sz w:val="20"/>
        </w:rPr>
      </w:pPr>
      <w:r>
        <w:rPr>
          <w:sz w:val="20"/>
        </w:rPr>
        <w:br w:type="page"/>
      </w:r>
    </w:p>
    <w:p w14:paraId="3EA310BB" w14:textId="77777777" w:rsidR="00F43E18" w:rsidRDefault="00F43E18" w:rsidP="00F43E18">
      <w:pPr>
        <w:pStyle w:val="Clauseheading"/>
        <w:widowControl/>
      </w:pPr>
      <w:r>
        <w:lastRenderedPageBreak/>
        <w:t>1</w:t>
      </w:r>
      <w:r>
        <w:tab/>
        <w:t>Name</w:t>
      </w:r>
    </w:p>
    <w:p w14:paraId="10C5B40C" w14:textId="77777777" w:rsidR="00F43E18" w:rsidRDefault="00F43E18" w:rsidP="00F43E18">
      <w:pPr>
        <w:pStyle w:val="Clause"/>
        <w:widowControl/>
      </w:pPr>
    </w:p>
    <w:p w14:paraId="0B98E93C" w14:textId="77777777" w:rsidR="00F43E18" w:rsidRPr="00F618DF" w:rsidRDefault="00F43E18" w:rsidP="00F43E18">
      <w:pPr>
        <w:pStyle w:val="Clause"/>
        <w:widowControl/>
      </w:pPr>
      <w:r w:rsidRPr="00DB170D">
        <w:t xml:space="preserve">This instrument is the </w:t>
      </w:r>
      <w:r>
        <w:rPr>
          <w:i/>
        </w:rPr>
        <w:t xml:space="preserve">Food Standards </w:t>
      </w:r>
      <w:r w:rsidRPr="00F618DF">
        <w:rPr>
          <w:i/>
        </w:rPr>
        <w:t>(</w:t>
      </w:r>
      <w:r w:rsidRPr="004D5DB3">
        <w:rPr>
          <w:i/>
        </w:rPr>
        <w:t xml:space="preserve">Proposal P1030 – Health Claims </w:t>
      </w:r>
      <w:r>
        <w:rPr>
          <w:i/>
        </w:rPr>
        <w:t>– Formulated Supplementary</w:t>
      </w:r>
      <w:r w:rsidRPr="004D5DB3">
        <w:rPr>
          <w:i/>
        </w:rPr>
        <w:t xml:space="preserve"> Sports Foods </w:t>
      </w:r>
      <w:r>
        <w:rPr>
          <w:i/>
        </w:rPr>
        <w:t xml:space="preserve">&amp; </w:t>
      </w:r>
      <w:r w:rsidRPr="004D5DB3">
        <w:rPr>
          <w:i/>
        </w:rPr>
        <w:t>Electrolyte Drinks</w:t>
      </w:r>
      <w:r w:rsidRPr="00F618DF">
        <w:rPr>
          <w:i/>
        </w:rPr>
        <w:t>) Variation</w:t>
      </w:r>
      <w:r w:rsidRPr="00F618DF">
        <w:t>.</w:t>
      </w:r>
    </w:p>
    <w:p w14:paraId="0438511B" w14:textId="77777777" w:rsidR="00F43E18" w:rsidRDefault="00F43E18" w:rsidP="00F43E18">
      <w:pPr>
        <w:pStyle w:val="Clause"/>
        <w:widowControl/>
      </w:pPr>
    </w:p>
    <w:p w14:paraId="7F8C3605" w14:textId="77777777" w:rsidR="00F43E18" w:rsidRPr="0036244B" w:rsidRDefault="00F43E18" w:rsidP="00F43E18">
      <w:pPr>
        <w:pStyle w:val="Clauseheading"/>
        <w:widowControl/>
        <w:tabs>
          <w:tab w:val="clear" w:pos="851"/>
        </w:tabs>
        <w:ind w:left="851" w:hanging="851"/>
      </w:pPr>
      <w:r w:rsidRPr="0036244B">
        <w:t>2</w:t>
      </w:r>
      <w:r w:rsidRPr="0036244B">
        <w:tab/>
      </w:r>
      <w:r>
        <w:t>V</w:t>
      </w:r>
      <w:r w:rsidRPr="0036244B">
        <w:t xml:space="preserve">ariation to Standards in the </w:t>
      </w:r>
      <w:r w:rsidRPr="0072638F">
        <w:rPr>
          <w:i/>
        </w:rPr>
        <w:t>Australia New Zealand Food Standards Code</w:t>
      </w:r>
    </w:p>
    <w:p w14:paraId="41016D61" w14:textId="77777777" w:rsidR="00F43E18" w:rsidRDefault="00F43E18" w:rsidP="00F43E18">
      <w:pPr>
        <w:pStyle w:val="Clause"/>
        <w:widowControl/>
      </w:pPr>
    </w:p>
    <w:p w14:paraId="6ECDFCF9" w14:textId="77777777" w:rsidR="00F43E18" w:rsidRDefault="00F43E18" w:rsidP="00F43E18">
      <w:pPr>
        <w:pStyle w:val="Clause"/>
        <w:widowControl/>
      </w:pPr>
      <w:r>
        <w:t xml:space="preserve">The Schedule varies the Standards in the </w:t>
      </w:r>
      <w:r w:rsidRPr="00FF1C11">
        <w:rPr>
          <w:i/>
        </w:rPr>
        <w:t>Australia New Zealand Food Standards Code</w:t>
      </w:r>
      <w:r>
        <w:t>.</w:t>
      </w:r>
    </w:p>
    <w:p w14:paraId="6F6EDB62" w14:textId="77777777" w:rsidR="00F43E18" w:rsidRDefault="00F43E18" w:rsidP="00F43E18">
      <w:pPr>
        <w:widowControl/>
        <w:rPr>
          <w:sz w:val="20"/>
        </w:rPr>
      </w:pPr>
    </w:p>
    <w:p w14:paraId="0AE3336B" w14:textId="77777777" w:rsidR="00F43E18" w:rsidRDefault="00F43E18" w:rsidP="00F43E18">
      <w:pPr>
        <w:pStyle w:val="Clauseheading"/>
        <w:widowControl/>
      </w:pPr>
      <w:r>
        <w:t>3</w:t>
      </w:r>
      <w:r>
        <w:tab/>
        <w:t>Commencement</w:t>
      </w:r>
    </w:p>
    <w:p w14:paraId="49384A3D" w14:textId="77777777" w:rsidR="00F43E18" w:rsidRDefault="00F43E18" w:rsidP="00F43E18">
      <w:pPr>
        <w:pStyle w:val="Clause"/>
        <w:widowControl/>
      </w:pPr>
    </w:p>
    <w:p w14:paraId="0F84F31C" w14:textId="77777777" w:rsidR="00F43E18" w:rsidRDefault="00F43E18" w:rsidP="00F43E18">
      <w:pPr>
        <w:pStyle w:val="Clause"/>
        <w:widowControl/>
      </w:pPr>
      <w:r>
        <w:t>The variation commenc</w:t>
      </w:r>
      <w:r w:rsidRPr="000055C4">
        <w:t>e</w:t>
      </w:r>
      <w:r>
        <w:t>s</w:t>
      </w:r>
      <w:r w:rsidRPr="000055C4">
        <w:t xml:space="preserve"> on</w:t>
      </w:r>
      <w:r>
        <w:t xml:space="preserve"> the date of gazettal.</w:t>
      </w:r>
    </w:p>
    <w:p w14:paraId="7A6F30B1" w14:textId="77777777" w:rsidR="00F43E18" w:rsidRDefault="00F43E18" w:rsidP="00F43E18">
      <w:pPr>
        <w:pStyle w:val="ScheduleHeading"/>
        <w:widowControl/>
      </w:pPr>
    </w:p>
    <w:p w14:paraId="16ABE6FF" w14:textId="77777777" w:rsidR="00F43E18" w:rsidRDefault="00F43E18" w:rsidP="00F43E18">
      <w:pPr>
        <w:pStyle w:val="ScheduleHeading"/>
        <w:widowControl/>
      </w:pPr>
      <w:r>
        <w:t>SCHEDULE</w:t>
      </w:r>
    </w:p>
    <w:p w14:paraId="5BC97F4E" w14:textId="77777777" w:rsidR="00F43E18" w:rsidRPr="0036244B" w:rsidRDefault="00F43E18" w:rsidP="00F43E18">
      <w:pPr>
        <w:widowControl/>
        <w:rPr>
          <w:sz w:val="20"/>
        </w:rPr>
      </w:pPr>
    </w:p>
    <w:p w14:paraId="5C25B5CA" w14:textId="77777777" w:rsidR="00F43E18" w:rsidRDefault="00F43E18" w:rsidP="00F43E18">
      <w:pPr>
        <w:pStyle w:val="Clause"/>
        <w:widowControl/>
      </w:pPr>
      <w:r w:rsidRPr="00BC3497">
        <w:rPr>
          <w:b/>
        </w:rPr>
        <w:t>[1]</w:t>
      </w:r>
      <w:r w:rsidRPr="00BC3497">
        <w:rPr>
          <w:b/>
        </w:rPr>
        <w:tab/>
        <w:t xml:space="preserve">Standard </w:t>
      </w:r>
      <w:r>
        <w:rPr>
          <w:b/>
        </w:rPr>
        <w:t>1.2.7</w:t>
      </w:r>
      <w:r w:rsidRPr="00BC3497">
        <w:t xml:space="preserve"> is varied by</w:t>
      </w:r>
      <w:r>
        <w:t xml:space="preserve"> inserting in Columns 2, 3 and 4 of Schedule 1 after the last entry for “Vitamin or mineral (not including potassium or </w:t>
      </w:r>
      <w:r w:rsidRPr="0018704C">
        <w:t>sodium</w:t>
      </w:r>
      <w:r>
        <w:t>)”</w:t>
      </w:r>
    </w:p>
    <w:p w14:paraId="2DBBFA26" w14:textId="77777777" w:rsidR="00F43E18" w:rsidRDefault="00F43E18" w:rsidP="00F43E18">
      <w:pPr>
        <w:pStyle w:val="Clause"/>
        <w:widowControl/>
      </w:pPr>
    </w:p>
    <w:p w14:paraId="1F784FA2" w14:textId="77777777" w:rsidR="00F43E18" w:rsidRDefault="00F43E18" w:rsidP="00F43E18">
      <w:pPr>
        <w:widowControl/>
      </w:pPr>
      <w:r>
        <w:t>“</w:t>
      </w:r>
    </w:p>
    <w:tbl>
      <w:tblPr>
        <w:tblW w:w="90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7"/>
        <w:gridCol w:w="2120"/>
        <w:gridCol w:w="2107"/>
        <w:gridCol w:w="2702"/>
      </w:tblGrid>
      <w:tr w:rsidR="00F43E18" w:rsidRPr="00AC1C0D" w14:paraId="0D05D334" w14:textId="77777777" w:rsidTr="00647509">
        <w:tc>
          <w:tcPr>
            <w:tcW w:w="2107" w:type="dxa"/>
            <w:tcBorders>
              <w:top w:val="nil"/>
              <w:left w:val="nil"/>
              <w:bottom w:val="nil"/>
            </w:tcBorders>
          </w:tcPr>
          <w:p w14:paraId="6593CCCC" w14:textId="77777777" w:rsidR="00F43E18" w:rsidRDefault="00F43E18" w:rsidP="00647509">
            <w:pPr>
              <w:pStyle w:val="Table2"/>
              <w:widowControl/>
            </w:pPr>
          </w:p>
        </w:tc>
        <w:tc>
          <w:tcPr>
            <w:tcW w:w="2120" w:type="dxa"/>
          </w:tcPr>
          <w:p w14:paraId="72248ADE" w14:textId="77777777" w:rsidR="00F43E18" w:rsidRPr="00ED38F1" w:rsidRDefault="00F43E18" w:rsidP="00647509">
            <w:pPr>
              <w:pStyle w:val="Table2"/>
              <w:widowControl/>
            </w:pPr>
            <w:r>
              <w:t xml:space="preserve">If the food </w:t>
            </w:r>
            <w:r w:rsidRPr="004B138A">
              <w:t>is a formulated</w:t>
            </w:r>
            <w:r>
              <w:t xml:space="preserve"> </w:t>
            </w:r>
            <w:r w:rsidRPr="00ED38F1">
              <w:t>supplementary sports food st</w:t>
            </w:r>
            <w:r>
              <w:t>andardised under Standard 2.9.4</w:t>
            </w:r>
            <w:r w:rsidRPr="00ED38F1">
              <w:t>,</w:t>
            </w:r>
            <w:r>
              <w:t xml:space="preserve"> </w:t>
            </w:r>
            <w:r w:rsidRPr="004E6389">
              <w:t>the food meets the conditions for making a claim about vitamins and minerals in subclause 5(2) of Standard 2.</w:t>
            </w:r>
            <w:r w:rsidRPr="00F83FD8">
              <w:t>9.4</w:t>
            </w:r>
          </w:p>
        </w:tc>
        <w:tc>
          <w:tcPr>
            <w:tcW w:w="2107" w:type="dxa"/>
          </w:tcPr>
          <w:p w14:paraId="7EF061E7" w14:textId="77777777" w:rsidR="00F43E18" w:rsidRPr="00AC1C0D" w:rsidRDefault="00F43E18" w:rsidP="00647509">
            <w:pPr>
              <w:widowControl/>
              <w:ind w:left="142" w:hanging="142"/>
              <w:rPr>
                <w:rFonts w:eastAsiaTheme="minorHAnsi" w:cstheme="minorBidi"/>
                <w:bCs/>
                <w:sz w:val="18"/>
                <w:lang w:eastAsia="en-AU"/>
              </w:rPr>
            </w:pPr>
          </w:p>
        </w:tc>
        <w:tc>
          <w:tcPr>
            <w:tcW w:w="2702" w:type="dxa"/>
          </w:tcPr>
          <w:p w14:paraId="66E8D37A" w14:textId="77777777" w:rsidR="00F43E18" w:rsidRPr="00AC1C0D" w:rsidRDefault="00F43E18" w:rsidP="00647509">
            <w:pPr>
              <w:widowControl/>
              <w:ind w:left="142" w:hanging="142"/>
              <w:rPr>
                <w:rFonts w:eastAsiaTheme="minorHAnsi" w:cstheme="minorBidi"/>
                <w:bCs/>
                <w:sz w:val="18"/>
                <w:lang w:eastAsia="en-AU"/>
              </w:rPr>
            </w:pPr>
          </w:p>
        </w:tc>
      </w:tr>
    </w:tbl>
    <w:p w14:paraId="33842A3D" w14:textId="77777777" w:rsidR="00F43E18" w:rsidRPr="00A870AD" w:rsidRDefault="00F43E18" w:rsidP="00F43E18">
      <w:pPr>
        <w:pStyle w:val="Subclause"/>
        <w:widowControl/>
        <w:jc w:val="right"/>
      </w:pPr>
      <w:r w:rsidRPr="00A870AD">
        <w:t>”</w:t>
      </w:r>
    </w:p>
    <w:p w14:paraId="70553069" w14:textId="77777777" w:rsidR="00F43E18" w:rsidRDefault="00F43E18" w:rsidP="00F43E18">
      <w:pPr>
        <w:pStyle w:val="Clause"/>
        <w:widowControl/>
      </w:pPr>
    </w:p>
    <w:p w14:paraId="0F2F2C93" w14:textId="77777777" w:rsidR="00F43E18" w:rsidRDefault="00F43E18" w:rsidP="00F43E18">
      <w:pPr>
        <w:pStyle w:val="Clause"/>
        <w:widowControl/>
      </w:pPr>
      <w:r>
        <w:rPr>
          <w:b/>
        </w:rPr>
        <w:t>[2]</w:t>
      </w:r>
      <w:r>
        <w:rPr>
          <w:b/>
        </w:rPr>
        <w:tab/>
      </w:r>
      <w:r w:rsidRPr="0018704C">
        <w:rPr>
          <w:b/>
        </w:rPr>
        <w:t>Standard 1.3.1</w:t>
      </w:r>
      <w:r w:rsidRPr="00BC3497">
        <w:t xml:space="preserve"> is varied by</w:t>
      </w:r>
      <w:r>
        <w:t xml:space="preserve"> </w:t>
      </w:r>
    </w:p>
    <w:p w14:paraId="1FCDC3C5" w14:textId="77777777" w:rsidR="00F43E18" w:rsidRDefault="00F43E18" w:rsidP="00F43E18">
      <w:pPr>
        <w:pStyle w:val="Clause"/>
        <w:widowControl/>
      </w:pPr>
    </w:p>
    <w:p w14:paraId="33DC112B" w14:textId="77777777" w:rsidR="00F43E18" w:rsidRDefault="00F43E18" w:rsidP="00F43E18">
      <w:pPr>
        <w:pStyle w:val="Subclause"/>
        <w:widowControl/>
      </w:pPr>
      <w:r w:rsidRPr="00A85341">
        <w:t>[</w:t>
      </w:r>
      <w:r>
        <w:t>2</w:t>
      </w:r>
      <w:r w:rsidRPr="00A85341">
        <w:t>.1]</w:t>
      </w:r>
      <w:r w:rsidRPr="00A85341">
        <w:tab/>
      </w:r>
      <w:r>
        <w:t xml:space="preserve">omitting from item 14.1.3 in Schedule 1 </w:t>
      </w:r>
    </w:p>
    <w:p w14:paraId="1C8B65BB" w14:textId="77777777" w:rsidR="00F43E18" w:rsidRDefault="00F43E18" w:rsidP="00F43E18">
      <w:pPr>
        <w:pStyle w:val="Clause"/>
        <w:widowControl/>
      </w:pPr>
    </w:p>
    <w:p w14:paraId="2ACA78DF" w14:textId="77777777" w:rsidR="00F43E18" w:rsidRDefault="00F43E18" w:rsidP="00F43E18">
      <w:pPr>
        <w:pStyle w:val="Clause"/>
        <w:widowControl/>
      </w:pPr>
      <w:r>
        <w:t>“</w:t>
      </w:r>
    </w:p>
    <w:tbl>
      <w:tblPr>
        <w:tblW w:w="9245" w:type="dxa"/>
        <w:tblLayout w:type="fixed"/>
        <w:tblLook w:val="0000" w:firstRow="0" w:lastRow="0" w:firstColumn="0" w:lastColumn="0" w:noHBand="0" w:noVBand="0"/>
      </w:tblPr>
      <w:tblGrid>
        <w:gridCol w:w="647"/>
        <w:gridCol w:w="1798"/>
        <w:gridCol w:w="2881"/>
        <w:gridCol w:w="731"/>
        <w:gridCol w:w="710"/>
        <w:gridCol w:w="543"/>
        <w:gridCol w:w="1935"/>
      </w:tblGrid>
      <w:tr w:rsidR="00F43E18" w14:paraId="73BE7336" w14:textId="77777777" w:rsidTr="00647509">
        <w:trPr>
          <w:cantSplit/>
        </w:trPr>
        <w:tc>
          <w:tcPr>
            <w:tcW w:w="9245" w:type="dxa"/>
            <w:gridSpan w:val="7"/>
          </w:tcPr>
          <w:p w14:paraId="348BD6DC" w14:textId="77777777" w:rsidR="00F43E18" w:rsidRDefault="00F43E18" w:rsidP="00647509">
            <w:pPr>
              <w:pStyle w:val="131Subitemheading"/>
            </w:pPr>
            <w:r>
              <w:tab/>
              <w:t>electrolyte drink and electrolyte drink base</w:t>
            </w:r>
          </w:p>
        </w:tc>
      </w:tr>
      <w:tr w:rsidR="00F43E18" w14:paraId="097A220B" w14:textId="77777777" w:rsidTr="00647509">
        <w:tc>
          <w:tcPr>
            <w:tcW w:w="647" w:type="dxa"/>
          </w:tcPr>
          <w:p w14:paraId="6C56CEC8" w14:textId="77777777" w:rsidR="00F43E18" w:rsidRDefault="00F43E18" w:rsidP="00647509">
            <w:pPr>
              <w:pStyle w:val="Table2"/>
              <w:widowControl/>
            </w:pPr>
          </w:p>
        </w:tc>
        <w:tc>
          <w:tcPr>
            <w:tcW w:w="1798" w:type="dxa"/>
          </w:tcPr>
          <w:p w14:paraId="5947CBB6" w14:textId="77777777" w:rsidR="00F43E18" w:rsidRPr="00DC3F8A" w:rsidRDefault="00F43E18" w:rsidP="00647509">
            <w:pPr>
              <w:pStyle w:val="Table2"/>
              <w:widowControl/>
            </w:pPr>
            <w:r w:rsidRPr="00DC3F8A">
              <w:t>-</w:t>
            </w:r>
          </w:p>
        </w:tc>
        <w:tc>
          <w:tcPr>
            <w:tcW w:w="2881" w:type="dxa"/>
          </w:tcPr>
          <w:p w14:paraId="325EE51A" w14:textId="77777777" w:rsidR="00F43E18" w:rsidRPr="00DC3F8A" w:rsidRDefault="00F43E18" w:rsidP="00647509">
            <w:pPr>
              <w:pStyle w:val="Table2"/>
              <w:widowControl/>
            </w:pPr>
            <w:r w:rsidRPr="00DC3F8A">
              <w:t>Aspartame</w:t>
            </w:r>
          </w:p>
        </w:tc>
        <w:tc>
          <w:tcPr>
            <w:tcW w:w="731" w:type="dxa"/>
          </w:tcPr>
          <w:p w14:paraId="7D87E411" w14:textId="77777777" w:rsidR="00F43E18" w:rsidRPr="00DC3F8A" w:rsidRDefault="00F43E18" w:rsidP="00647509">
            <w:pPr>
              <w:pStyle w:val="Table2"/>
              <w:widowControl/>
            </w:pPr>
            <w:r w:rsidRPr="00DC3F8A">
              <w:t>150</w:t>
            </w:r>
          </w:p>
        </w:tc>
        <w:tc>
          <w:tcPr>
            <w:tcW w:w="710" w:type="dxa"/>
          </w:tcPr>
          <w:p w14:paraId="61456745" w14:textId="77777777" w:rsidR="00F43E18" w:rsidRDefault="00F43E18" w:rsidP="00647509">
            <w:pPr>
              <w:pStyle w:val="Table2"/>
              <w:widowControl/>
            </w:pPr>
            <w:r>
              <w:t>mg/kg</w:t>
            </w:r>
          </w:p>
        </w:tc>
        <w:tc>
          <w:tcPr>
            <w:tcW w:w="543" w:type="dxa"/>
          </w:tcPr>
          <w:p w14:paraId="3E97AF16" w14:textId="77777777" w:rsidR="00F43E18" w:rsidRDefault="00F43E18" w:rsidP="00647509">
            <w:pPr>
              <w:pStyle w:val="Table2"/>
              <w:widowControl/>
            </w:pPr>
          </w:p>
        </w:tc>
        <w:tc>
          <w:tcPr>
            <w:tcW w:w="1935" w:type="dxa"/>
          </w:tcPr>
          <w:p w14:paraId="5C24C3D8" w14:textId="77777777" w:rsidR="00F43E18" w:rsidRDefault="00F43E18" w:rsidP="00647509">
            <w:pPr>
              <w:pStyle w:val="Table2"/>
              <w:widowControl/>
            </w:pPr>
          </w:p>
        </w:tc>
      </w:tr>
      <w:tr w:rsidR="00F43E18" w14:paraId="007E1089" w14:textId="77777777" w:rsidTr="00647509">
        <w:tc>
          <w:tcPr>
            <w:tcW w:w="647" w:type="dxa"/>
          </w:tcPr>
          <w:p w14:paraId="2D78BB0B" w14:textId="77777777" w:rsidR="00F43E18" w:rsidRDefault="00F43E18" w:rsidP="00647509">
            <w:pPr>
              <w:pStyle w:val="Table2"/>
              <w:widowControl/>
            </w:pPr>
          </w:p>
        </w:tc>
        <w:tc>
          <w:tcPr>
            <w:tcW w:w="1798" w:type="dxa"/>
          </w:tcPr>
          <w:p w14:paraId="0BAC4D92" w14:textId="77777777" w:rsidR="00F43E18" w:rsidRPr="00DC3F8A" w:rsidRDefault="00F43E18" w:rsidP="00647509">
            <w:pPr>
              <w:pStyle w:val="Table2"/>
              <w:widowControl/>
            </w:pPr>
            <w:r w:rsidRPr="00DC3F8A">
              <w:t>950</w:t>
            </w:r>
          </w:p>
        </w:tc>
        <w:tc>
          <w:tcPr>
            <w:tcW w:w="2881" w:type="dxa"/>
          </w:tcPr>
          <w:p w14:paraId="6C2892D5" w14:textId="77777777" w:rsidR="00F43E18" w:rsidRPr="00DC3F8A" w:rsidRDefault="00F43E18" w:rsidP="00647509">
            <w:pPr>
              <w:pStyle w:val="Table2"/>
              <w:widowControl/>
            </w:pPr>
            <w:r w:rsidRPr="00DC3F8A">
              <w:t>Acesulphame potassium</w:t>
            </w:r>
          </w:p>
        </w:tc>
        <w:tc>
          <w:tcPr>
            <w:tcW w:w="731" w:type="dxa"/>
          </w:tcPr>
          <w:p w14:paraId="6B95E971" w14:textId="77777777" w:rsidR="00F43E18" w:rsidRPr="00DC3F8A" w:rsidRDefault="00F43E18" w:rsidP="00647509">
            <w:pPr>
              <w:pStyle w:val="Table2"/>
              <w:widowControl/>
            </w:pPr>
            <w:r w:rsidRPr="00DC3F8A">
              <w:t>150</w:t>
            </w:r>
          </w:p>
        </w:tc>
        <w:tc>
          <w:tcPr>
            <w:tcW w:w="710" w:type="dxa"/>
          </w:tcPr>
          <w:p w14:paraId="71297BD3" w14:textId="77777777" w:rsidR="00F43E18" w:rsidRDefault="00F43E18" w:rsidP="00647509">
            <w:pPr>
              <w:pStyle w:val="Table2"/>
              <w:widowControl/>
            </w:pPr>
            <w:r>
              <w:t>mg/kg</w:t>
            </w:r>
          </w:p>
        </w:tc>
        <w:tc>
          <w:tcPr>
            <w:tcW w:w="543" w:type="dxa"/>
          </w:tcPr>
          <w:p w14:paraId="5F803D85" w14:textId="77777777" w:rsidR="00F43E18" w:rsidRDefault="00F43E18" w:rsidP="00647509">
            <w:pPr>
              <w:pStyle w:val="Centeredheadings"/>
              <w:widowControl/>
              <w:rPr>
                <w:sz w:val="18"/>
              </w:rPr>
            </w:pPr>
          </w:p>
        </w:tc>
        <w:tc>
          <w:tcPr>
            <w:tcW w:w="1935" w:type="dxa"/>
          </w:tcPr>
          <w:p w14:paraId="55C4F87F" w14:textId="77777777" w:rsidR="00F43E18" w:rsidRDefault="00F43E18" w:rsidP="00647509">
            <w:pPr>
              <w:pStyle w:val="Table2"/>
              <w:widowControl/>
            </w:pPr>
          </w:p>
        </w:tc>
      </w:tr>
      <w:tr w:rsidR="00F43E18" w14:paraId="68D85B63" w14:textId="77777777" w:rsidTr="00647509">
        <w:tc>
          <w:tcPr>
            <w:tcW w:w="647" w:type="dxa"/>
          </w:tcPr>
          <w:p w14:paraId="7F4CF690" w14:textId="77777777" w:rsidR="00F43E18" w:rsidRDefault="00F43E18" w:rsidP="00647509">
            <w:pPr>
              <w:pStyle w:val="Table2"/>
              <w:widowControl/>
            </w:pPr>
          </w:p>
        </w:tc>
        <w:tc>
          <w:tcPr>
            <w:tcW w:w="1798" w:type="dxa"/>
          </w:tcPr>
          <w:p w14:paraId="469BE541" w14:textId="77777777" w:rsidR="00F43E18" w:rsidRPr="00DC3F8A" w:rsidRDefault="00F43E18" w:rsidP="00647509">
            <w:pPr>
              <w:pStyle w:val="Table2"/>
              <w:widowControl/>
            </w:pPr>
            <w:r w:rsidRPr="00DC3F8A">
              <w:t>962</w:t>
            </w:r>
          </w:p>
        </w:tc>
        <w:tc>
          <w:tcPr>
            <w:tcW w:w="2881" w:type="dxa"/>
          </w:tcPr>
          <w:p w14:paraId="65B6C60D" w14:textId="77777777" w:rsidR="00F43E18" w:rsidRPr="00DC3F8A" w:rsidRDefault="00F43E18" w:rsidP="00647509">
            <w:pPr>
              <w:pStyle w:val="Table2"/>
              <w:widowControl/>
            </w:pPr>
            <w:r w:rsidRPr="00DC3F8A">
              <w:t>Aspartame-acesulphame salt</w:t>
            </w:r>
          </w:p>
        </w:tc>
        <w:tc>
          <w:tcPr>
            <w:tcW w:w="731" w:type="dxa"/>
          </w:tcPr>
          <w:p w14:paraId="2FD8DFF4" w14:textId="77777777" w:rsidR="00F43E18" w:rsidRPr="00DC3F8A" w:rsidRDefault="00F43E18" w:rsidP="00647509">
            <w:pPr>
              <w:pStyle w:val="Table2"/>
              <w:widowControl/>
            </w:pPr>
            <w:r w:rsidRPr="00DC3F8A">
              <w:t>230</w:t>
            </w:r>
          </w:p>
        </w:tc>
        <w:tc>
          <w:tcPr>
            <w:tcW w:w="710" w:type="dxa"/>
          </w:tcPr>
          <w:p w14:paraId="2E145774" w14:textId="77777777" w:rsidR="00F43E18" w:rsidRDefault="00F43E18" w:rsidP="00647509">
            <w:pPr>
              <w:pStyle w:val="Table2"/>
              <w:widowControl/>
            </w:pPr>
            <w:r>
              <w:t>mg/kg</w:t>
            </w:r>
          </w:p>
        </w:tc>
        <w:tc>
          <w:tcPr>
            <w:tcW w:w="543" w:type="dxa"/>
          </w:tcPr>
          <w:p w14:paraId="5D6BBF60" w14:textId="77777777" w:rsidR="00F43E18" w:rsidRDefault="00F43E18" w:rsidP="00647509">
            <w:pPr>
              <w:pStyle w:val="Centeredheadings"/>
              <w:widowControl/>
              <w:rPr>
                <w:sz w:val="18"/>
              </w:rPr>
            </w:pPr>
          </w:p>
        </w:tc>
        <w:tc>
          <w:tcPr>
            <w:tcW w:w="1935" w:type="dxa"/>
          </w:tcPr>
          <w:p w14:paraId="0999B599" w14:textId="77777777" w:rsidR="00F43E18" w:rsidRDefault="00F43E18" w:rsidP="00647509">
            <w:pPr>
              <w:pStyle w:val="Table2"/>
              <w:widowControl/>
            </w:pPr>
          </w:p>
        </w:tc>
      </w:tr>
    </w:tbl>
    <w:p w14:paraId="4F36D6A1" w14:textId="77777777" w:rsidR="00F43E18" w:rsidRPr="00240403" w:rsidRDefault="00F43E18" w:rsidP="00F43E18">
      <w:pPr>
        <w:pStyle w:val="Clause"/>
        <w:widowControl/>
        <w:jc w:val="right"/>
      </w:pPr>
      <w:r w:rsidRPr="00240403">
        <w:t>”</w:t>
      </w:r>
    </w:p>
    <w:p w14:paraId="05D4CD63" w14:textId="77777777" w:rsidR="00F43E18" w:rsidRDefault="00F43E18" w:rsidP="00F43E18">
      <w:pPr>
        <w:pStyle w:val="Subclause"/>
        <w:widowControl/>
      </w:pPr>
    </w:p>
    <w:p w14:paraId="4FD7FBD9" w14:textId="77777777" w:rsidR="00F43E18" w:rsidRDefault="00F43E18" w:rsidP="00F43E18">
      <w:pPr>
        <w:pStyle w:val="Subclause"/>
        <w:widowControl/>
      </w:pPr>
      <w:r>
        <w:t>[2.2]</w:t>
      </w:r>
      <w:r>
        <w:tab/>
        <w:t>inserting after item 13.4.2 in Schedule 1</w:t>
      </w:r>
    </w:p>
    <w:p w14:paraId="2BE5861B" w14:textId="77777777" w:rsidR="00F43E18" w:rsidRDefault="00F43E18" w:rsidP="00F43E18">
      <w:pPr>
        <w:pStyle w:val="Subclause"/>
        <w:widowControl/>
      </w:pPr>
    </w:p>
    <w:p w14:paraId="1F567E38" w14:textId="77777777" w:rsidR="00F43E18" w:rsidRDefault="00F43E18" w:rsidP="00F43E18">
      <w:pPr>
        <w:pStyle w:val="Subclause"/>
        <w:widowControl/>
      </w:pPr>
      <w:r>
        <w:t>“</w:t>
      </w:r>
    </w:p>
    <w:tbl>
      <w:tblPr>
        <w:tblW w:w="9245" w:type="dxa"/>
        <w:tblLayout w:type="fixed"/>
        <w:tblLook w:val="0000" w:firstRow="0" w:lastRow="0" w:firstColumn="0" w:lastColumn="0" w:noHBand="0" w:noVBand="0"/>
      </w:tblPr>
      <w:tblGrid>
        <w:gridCol w:w="647"/>
        <w:gridCol w:w="1798"/>
        <w:gridCol w:w="2883"/>
        <w:gridCol w:w="20"/>
        <w:gridCol w:w="709"/>
        <w:gridCol w:w="710"/>
        <w:gridCol w:w="543"/>
        <w:gridCol w:w="1926"/>
        <w:gridCol w:w="9"/>
      </w:tblGrid>
      <w:tr w:rsidR="00F43E18" w:rsidRPr="00E86FB4" w14:paraId="0FFFBB7C" w14:textId="77777777" w:rsidTr="00647509">
        <w:trPr>
          <w:cantSplit/>
        </w:trPr>
        <w:tc>
          <w:tcPr>
            <w:tcW w:w="9245" w:type="dxa"/>
            <w:gridSpan w:val="9"/>
          </w:tcPr>
          <w:p w14:paraId="5434FDF6" w14:textId="77777777" w:rsidR="00F43E18" w:rsidRPr="00E86FB4" w:rsidRDefault="00F43E18" w:rsidP="00647509">
            <w:pPr>
              <w:pStyle w:val="131Subitemheading"/>
            </w:pPr>
            <w:r w:rsidRPr="00E86FB4">
              <w:t>1</w:t>
            </w:r>
            <w:r>
              <w:t>3</w:t>
            </w:r>
            <w:r w:rsidRPr="00E86FB4">
              <w:t>.</w:t>
            </w:r>
            <w:r>
              <w:t>5</w:t>
            </w:r>
            <w:r w:rsidRPr="00E86FB4">
              <w:tab/>
            </w:r>
            <w:r>
              <w:t>E</w:t>
            </w:r>
            <w:r w:rsidRPr="007B5F1B">
              <w:t>lectrolyte drink and electrolyte drink base</w:t>
            </w:r>
            <w:r>
              <w:t>*</w:t>
            </w:r>
          </w:p>
        </w:tc>
      </w:tr>
      <w:tr w:rsidR="00F43E18" w:rsidRPr="00E86FB4" w14:paraId="189CC39B" w14:textId="77777777" w:rsidTr="00647509">
        <w:tc>
          <w:tcPr>
            <w:tcW w:w="647" w:type="dxa"/>
          </w:tcPr>
          <w:p w14:paraId="60C833D9" w14:textId="77777777" w:rsidR="00F43E18" w:rsidRPr="00E86FB4" w:rsidRDefault="00F43E18" w:rsidP="00647509">
            <w:pPr>
              <w:widowControl/>
              <w:ind w:left="142" w:hanging="142"/>
              <w:rPr>
                <w:bCs/>
                <w:sz w:val="18"/>
              </w:rPr>
            </w:pPr>
          </w:p>
        </w:tc>
        <w:tc>
          <w:tcPr>
            <w:tcW w:w="1798" w:type="dxa"/>
          </w:tcPr>
          <w:p w14:paraId="7B7A07AF" w14:textId="77777777" w:rsidR="00F43E18" w:rsidRPr="00E86FB4" w:rsidRDefault="00F43E18" w:rsidP="00647509">
            <w:pPr>
              <w:pStyle w:val="Table2"/>
            </w:pPr>
            <w:r w:rsidRPr="00E86FB4">
              <w:t>-</w:t>
            </w:r>
          </w:p>
        </w:tc>
        <w:tc>
          <w:tcPr>
            <w:tcW w:w="2883" w:type="dxa"/>
          </w:tcPr>
          <w:p w14:paraId="1385CE72" w14:textId="77777777" w:rsidR="00F43E18" w:rsidRPr="00E86FB4" w:rsidRDefault="00F43E18" w:rsidP="00647509">
            <w:pPr>
              <w:pStyle w:val="Table2"/>
            </w:pPr>
            <w:r w:rsidRPr="00E86FB4">
              <w:t>Quinine</w:t>
            </w:r>
          </w:p>
          <w:p w14:paraId="0F4DA749" w14:textId="77777777" w:rsidR="00F43E18" w:rsidRPr="00E86FB4" w:rsidRDefault="00F43E18" w:rsidP="00647509">
            <w:pPr>
              <w:pStyle w:val="Table2"/>
            </w:pPr>
          </w:p>
        </w:tc>
        <w:tc>
          <w:tcPr>
            <w:tcW w:w="729" w:type="dxa"/>
            <w:gridSpan w:val="2"/>
          </w:tcPr>
          <w:p w14:paraId="31175404" w14:textId="77777777" w:rsidR="00F43E18" w:rsidRPr="00E86FB4" w:rsidRDefault="00F43E18" w:rsidP="00647509">
            <w:pPr>
              <w:pStyle w:val="Table2"/>
            </w:pPr>
            <w:r w:rsidRPr="00E86FB4">
              <w:t>100</w:t>
            </w:r>
          </w:p>
        </w:tc>
        <w:tc>
          <w:tcPr>
            <w:tcW w:w="710" w:type="dxa"/>
          </w:tcPr>
          <w:p w14:paraId="66FEF5A4" w14:textId="77777777" w:rsidR="00F43E18" w:rsidRPr="00E86FB4" w:rsidRDefault="00F43E18" w:rsidP="00647509">
            <w:pPr>
              <w:pStyle w:val="Table2"/>
            </w:pPr>
            <w:r w:rsidRPr="00E86FB4">
              <w:t>mg/kg</w:t>
            </w:r>
          </w:p>
        </w:tc>
        <w:tc>
          <w:tcPr>
            <w:tcW w:w="543" w:type="dxa"/>
          </w:tcPr>
          <w:p w14:paraId="5E228CC3" w14:textId="77777777" w:rsidR="00F43E18" w:rsidRPr="00E86FB4" w:rsidRDefault="00F43E18" w:rsidP="00647509">
            <w:pPr>
              <w:pStyle w:val="Table2"/>
            </w:pPr>
          </w:p>
        </w:tc>
        <w:tc>
          <w:tcPr>
            <w:tcW w:w="1935" w:type="dxa"/>
            <w:gridSpan w:val="2"/>
          </w:tcPr>
          <w:p w14:paraId="6E7EFC2A" w14:textId="77777777" w:rsidR="00F43E18" w:rsidRPr="00E86FB4" w:rsidRDefault="00F43E18" w:rsidP="00647509">
            <w:pPr>
              <w:pStyle w:val="Table2"/>
            </w:pPr>
            <w:r w:rsidRPr="00E86FB4">
              <w:t>tonic drinks, bitter drinks and quinine drinks only</w:t>
            </w:r>
          </w:p>
        </w:tc>
      </w:tr>
      <w:tr w:rsidR="00F43E18" w:rsidRPr="00E86FB4" w14:paraId="4E754F0E" w14:textId="77777777" w:rsidTr="00647509">
        <w:tc>
          <w:tcPr>
            <w:tcW w:w="647" w:type="dxa"/>
          </w:tcPr>
          <w:p w14:paraId="5108DDF6" w14:textId="77777777" w:rsidR="00F43E18" w:rsidRPr="00E86FB4" w:rsidRDefault="00F43E18" w:rsidP="00647509">
            <w:pPr>
              <w:widowControl/>
              <w:ind w:left="142" w:hanging="142"/>
              <w:rPr>
                <w:bCs/>
                <w:sz w:val="18"/>
              </w:rPr>
            </w:pPr>
          </w:p>
        </w:tc>
        <w:tc>
          <w:tcPr>
            <w:tcW w:w="1798" w:type="dxa"/>
          </w:tcPr>
          <w:p w14:paraId="5C37F93D" w14:textId="77777777" w:rsidR="00F43E18" w:rsidRPr="00E86FB4" w:rsidRDefault="00F43E18" w:rsidP="00647509">
            <w:pPr>
              <w:pStyle w:val="Table2"/>
            </w:pPr>
            <w:r w:rsidRPr="00E86FB4">
              <w:t>123</w:t>
            </w:r>
          </w:p>
        </w:tc>
        <w:tc>
          <w:tcPr>
            <w:tcW w:w="2883" w:type="dxa"/>
          </w:tcPr>
          <w:p w14:paraId="6A616EF3" w14:textId="77777777" w:rsidR="00F43E18" w:rsidRPr="00E86FB4" w:rsidRDefault="00F43E18" w:rsidP="00647509">
            <w:pPr>
              <w:pStyle w:val="Table2"/>
            </w:pPr>
            <w:r w:rsidRPr="00E86FB4">
              <w:t>Amaranth</w:t>
            </w:r>
          </w:p>
        </w:tc>
        <w:tc>
          <w:tcPr>
            <w:tcW w:w="729" w:type="dxa"/>
            <w:gridSpan w:val="2"/>
          </w:tcPr>
          <w:p w14:paraId="36EA5FA8" w14:textId="77777777" w:rsidR="00F43E18" w:rsidRPr="00E86FB4" w:rsidRDefault="00F43E18" w:rsidP="00647509">
            <w:pPr>
              <w:pStyle w:val="Table2"/>
            </w:pPr>
            <w:r w:rsidRPr="00E86FB4">
              <w:t>30</w:t>
            </w:r>
          </w:p>
        </w:tc>
        <w:tc>
          <w:tcPr>
            <w:tcW w:w="710" w:type="dxa"/>
          </w:tcPr>
          <w:p w14:paraId="586481C7" w14:textId="77777777" w:rsidR="00F43E18" w:rsidRPr="00E86FB4" w:rsidRDefault="00F43E18" w:rsidP="00647509">
            <w:pPr>
              <w:pStyle w:val="Table2"/>
            </w:pPr>
            <w:r w:rsidRPr="00E86FB4">
              <w:t>mg/kg</w:t>
            </w:r>
          </w:p>
        </w:tc>
        <w:tc>
          <w:tcPr>
            <w:tcW w:w="543" w:type="dxa"/>
          </w:tcPr>
          <w:p w14:paraId="22D38FA7" w14:textId="77777777" w:rsidR="00F43E18" w:rsidRPr="00E86FB4" w:rsidRDefault="00F43E18" w:rsidP="00647509">
            <w:pPr>
              <w:pStyle w:val="Table2"/>
            </w:pPr>
          </w:p>
        </w:tc>
        <w:tc>
          <w:tcPr>
            <w:tcW w:w="1935" w:type="dxa"/>
            <w:gridSpan w:val="2"/>
          </w:tcPr>
          <w:p w14:paraId="293AC3C6" w14:textId="77777777" w:rsidR="00F43E18" w:rsidRPr="00E86FB4" w:rsidRDefault="00F43E18" w:rsidP="00647509">
            <w:pPr>
              <w:widowControl/>
              <w:tabs>
                <w:tab w:val="left" w:pos="177"/>
              </w:tabs>
              <w:ind w:left="142" w:hanging="142"/>
              <w:rPr>
                <w:bCs/>
                <w:sz w:val="18"/>
              </w:rPr>
            </w:pPr>
          </w:p>
        </w:tc>
      </w:tr>
      <w:tr w:rsidR="00F43E18" w:rsidRPr="00E86FB4" w14:paraId="7D352651" w14:textId="77777777" w:rsidTr="00647509">
        <w:tc>
          <w:tcPr>
            <w:tcW w:w="647" w:type="dxa"/>
          </w:tcPr>
          <w:p w14:paraId="0566BAE9" w14:textId="77777777" w:rsidR="00F43E18" w:rsidRPr="00E86FB4" w:rsidRDefault="00F43E18" w:rsidP="00647509">
            <w:pPr>
              <w:widowControl/>
              <w:ind w:left="142" w:hanging="142"/>
              <w:rPr>
                <w:bCs/>
                <w:sz w:val="18"/>
              </w:rPr>
            </w:pPr>
          </w:p>
        </w:tc>
        <w:tc>
          <w:tcPr>
            <w:tcW w:w="1798" w:type="dxa"/>
          </w:tcPr>
          <w:p w14:paraId="511D228F" w14:textId="77777777" w:rsidR="00F43E18" w:rsidRPr="00E86FB4" w:rsidRDefault="00F43E18" w:rsidP="00647509">
            <w:pPr>
              <w:pStyle w:val="Table2"/>
            </w:pPr>
            <w:r w:rsidRPr="00E86FB4">
              <w:t>200 201 202 203</w:t>
            </w:r>
          </w:p>
        </w:tc>
        <w:tc>
          <w:tcPr>
            <w:tcW w:w="2883" w:type="dxa"/>
          </w:tcPr>
          <w:p w14:paraId="65C39E57" w14:textId="77777777" w:rsidR="00F43E18" w:rsidRPr="00E86FB4" w:rsidRDefault="00F43E18" w:rsidP="00647509">
            <w:pPr>
              <w:pStyle w:val="Table2"/>
            </w:pPr>
            <w:r w:rsidRPr="00E86FB4">
              <w:t>Sorbic acid and sodium, potassium and calcium sorbates</w:t>
            </w:r>
          </w:p>
        </w:tc>
        <w:tc>
          <w:tcPr>
            <w:tcW w:w="729" w:type="dxa"/>
            <w:gridSpan w:val="2"/>
          </w:tcPr>
          <w:p w14:paraId="1C9E5A02" w14:textId="77777777" w:rsidR="00F43E18" w:rsidRPr="00E86FB4" w:rsidRDefault="00F43E18" w:rsidP="00647509">
            <w:pPr>
              <w:pStyle w:val="Table2"/>
            </w:pPr>
            <w:r w:rsidRPr="00E86FB4">
              <w:t>400</w:t>
            </w:r>
          </w:p>
        </w:tc>
        <w:tc>
          <w:tcPr>
            <w:tcW w:w="710" w:type="dxa"/>
          </w:tcPr>
          <w:p w14:paraId="01EFAF82" w14:textId="77777777" w:rsidR="00F43E18" w:rsidRPr="00E86FB4" w:rsidRDefault="00F43E18" w:rsidP="00647509">
            <w:pPr>
              <w:pStyle w:val="Table2"/>
            </w:pPr>
            <w:r w:rsidRPr="00E86FB4">
              <w:t>mg/kg</w:t>
            </w:r>
          </w:p>
        </w:tc>
        <w:tc>
          <w:tcPr>
            <w:tcW w:w="543" w:type="dxa"/>
          </w:tcPr>
          <w:p w14:paraId="632CCB37" w14:textId="77777777" w:rsidR="00F43E18" w:rsidRPr="00E86FB4" w:rsidRDefault="00F43E18" w:rsidP="00647509">
            <w:pPr>
              <w:pStyle w:val="Table2"/>
            </w:pPr>
          </w:p>
        </w:tc>
        <w:tc>
          <w:tcPr>
            <w:tcW w:w="1935" w:type="dxa"/>
            <w:gridSpan w:val="2"/>
          </w:tcPr>
          <w:p w14:paraId="487CF7A4" w14:textId="77777777" w:rsidR="00F43E18" w:rsidRPr="00E86FB4" w:rsidRDefault="00F43E18" w:rsidP="00647509">
            <w:pPr>
              <w:widowControl/>
              <w:tabs>
                <w:tab w:val="left" w:pos="177"/>
              </w:tabs>
              <w:ind w:left="142" w:hanging="142"/>
              <w:rPr>
                <w:bCs/>
                <w:sz w:val="18"/>
              </w:rPr>
            </w:pPr>
          </w:p>
        </w:tc>
      </w:tr>
      <w:tr w:rsidR="00F43E18" w:rsidRPr="00E86FB4" w14:paraId="1D2D18AC" w14:textId="77777777" w:rsidTr="00647509">
        <w:tc>
          <w:tcPr>
            <w:tcW w:w="647" w:type="dxa"/>
          </w:tcPr>
          <w:p w14:paraId="7B0BE629" w14:textId="77777777" w:rsidR="00F43E18" w:rsidRPr="00E86FB4" w:rsidRDefault="00F43E18" w:rsidP="00647509">
            <w:pPr>
              <w:widowControl/>
              <w:ind w:left="142" w:hanging="142"/>
              <w:rPr>
                <w:bCs/>
                <w:sz w:val="18"/>
              </w:rPr>
            </w:pPr>
          </w:p>
        </w:tc>
        <w:tc>
          <w:tcPr>
            <w:tcW w:w="1798" w:type="dxa"/>
          </w:tcPr>
          <w:p w14:paraId="1289B31A" w14:textId="77777777" w:rsidR="00F43E18" w:rsidRPr="00E86FB4" w:rsidRDefault="00F43E18" w:rsidP="00647509">
            <w:pPr>
              <w:pStyle w:val="Table2"/>
            </w:pPr>
            <w:r w:rsidRPr="00E86FB4">
              <w:t>210 211 212 213</w:t>
            </w:r>
          </w:p>
        </w:tc>
        <w:tc>
          <w:tcPr>
            <w:tcW w:w="2883" w:type="dxa"/>
          </w:tcPr>
          <w:p w14:paraId="47A897D4" w14:textId="77777777" w:rsidR="00F43E18" w:rsidRPr="00E86FB4" w:rsidRDefault="00F43E18" w:rsidP="00647509">
            <w:pPr>
              <w:pStyle w:val="Table2"/>
            </w:pPr>
            <w:r w:rsidRPr="00E86FB4">
              <w:t>Benzoic acid and sodium, potassium and calcium benzoates</w:t>
            </w:r>
          </w:p>
        </w:tc>
        <w:tc>
          <w:tcPr>
            <w:tcW w:w="729" w:type="dxa"/>
            <w:gridSpan w:val="2"/>
          </w:tcPr>
          <w:p w14:paraId="29D58060" w14:textId="77777777" w:rsidR="00F43E18" w:rsidRPr="00E86FB4" w:rsidRDefault="00F43E18" w:rsidP="00647509">
            <w:pPr>
              <w:pStyle w:val="Table2"/>
            </w:pPr>
            <w:r w:rsidRPr="00E86FB4">
              <w:t>400</w:t>
            </w:r>
          </w:p>
        </w:tc>
        <w:tc>
          <w:tcPr>
            <w:tcW w:w="710" w:type="dxa"/>
          </w:tcPr>
          <w:p w14:paraId="7EAAACFA" w14:textId="77777777" w:rsidR="00F43E18" w:rsidRPr="00E86FB4" w:rsidRDefault="00F43E18" w:rsidP="00647509">
            <w:pPr>
              <w:pStyle w:val="Table2"/>
            </w:pPr>
            <w:r w:rsidRPr="00E86FB4">
              <w:t>mg/kg</w:t>
            </w:r>
          </w:p>
        </w:tc>
        <w:tc>
          <w:tcPr>
            <w:tcW w:w="543" w:type="dxa"/>
          </w:tcPr>
          <w:p w14:paraId="74BAE54F" w14:textId="77777777" w:rsidR="00F43E18" w:rsidRPr="00E86FB4" w:rsidRDefault="00F43E18" w:rsidP="00647509">
            <w:pPr>
              <w:pStyle w:val="Table2"/>
            </w:pPr>
          </w:p>
        </w:tc>
        <w:tc>
          <w:tcPr>
            <w:tcW w:w="1935" w:type="dxa"/>
            <w:gridSpan w:val="2"/>
          </w:tcPr>
          <w:p w14:paraId="40FBF685" w14:textId="77777777" w:rsidR="00F43E18" w:rsidRPr="00E86FB4" w:rsidRDefault="00F43E18" w:rsidP="00647509">
            <w:pPr>
              <w:widowControl/>
              <w:tabs>
                <w:tab w:val="left" w:pos="177"/>
              </w:tabs>
              <w:ind w:left="142" w:hanging="142"/>
              <w:rPr>
                <w:bCs/>
                <w:sz w:val="18"/>
              </w:rPr>
            </w:pPr>
          </w:p>
        </w:tc>
      </w:tr>
      <w:tr w:rsidR="00F43E18" w:rsidRPr="00E86FB4" w14:paraId="5A37EFF8" w14:textId="77777777" w:rsidTr="00647509">
        <w:tc>
          <w:tcPr>
            <w:tcW w:w="647" w:type="dxa"/>
          </w:tcPr>
          <w:p w14:paraId="6618357B" w14:textId="77777777" w:rsidR="00F43E18" w:rsidRPr="00E86FB4" w:rsidRDefault="00F43E18" w:rsidP="00647509">
            <w:pPr>
              <w:widowControl/>
              <w:ind w:left="142" w:hanging="142"/>
              <w:rPr>
                <w:bCs/>
                <w:sz w:val="18"/>
              </w:rPr>
            </w:pPr>
          </w:p>
        </w:tc>
        <w:tc>
          <w:tcPr>
            <w:tcW w:w="1798" w:type="dxa"/>
          </w:tcPr>
          <w:p w14:paraId="49C895F6" w14:textId="77777777" w:rsidR="00F43E18" w:rsidRPr="00E86FB4" w:rsidRDefault="00F43E18" w:rsidP="00647509">
            <w:pPr>
              <w:pStyle w:val="Table2"/>
            </w:pPr>
            <w:r w:rsidRPr="00E86FB4">
              <w:t>220 221 222 223 224 225 228</w:t>
            </w:r>
          </w:p>
        </w:tc>
        <w:tc>
          <w:tcPr>
            <w:tcW w:w="2883" w:type="dxa"/>
          </w:tcPr>
          <w:p w14:paraId="2F2DD5E3" w14:textId="77777777" w:rsidR="00F43E18" w:rsidRPr="00E86FB4" w:rsidRDefault="00F43E18" w:rsidP="00647509">
            <w:pPr>
              <w:pStyle w:val="Table2"/>
            </w:pPr>
            <w:r w:rsidRPr="00E86FB4">
              <w:t>Sulphur dioxide and sodium and potassium sulphites</w:t>
            </w:r>
          </w:p>
        </w:tc>
        <w:tc>
          <w:tcPr>
            <w:tcW w:w="729" w:type="dxa"/>
            <w:gridSpan w:val="2"/>
          </w:tcPr>
          <w:p w14:paraId="0C731EF0" w14:textId="77777777" w:rsidR="00F43E18" w:rsidRPr="00E86FB4" w:rsidRDefault="00F43E18" w:rsidP="00647509">
            <w:pPr>
              <w:pStyle w:val="Table2"/>
            </w:pPr>
            <w:r w:rsidRPr="00E86FB4">
              <w:t>115</w:t>
            </w:r>
          </w:p>
        </w:tc>
        <w:tc>
          <w:tcPr>
            <w:tcW w:w="710" w:type="dxa"/>
          </w:tcPr>
          <w:p w14:paraId="37769CE1" w14:textId="77777777" w:rsidR="00F43E18" w:rsidRPr="00E86FB4" w:rsidRDefault="00F43E18" w:rsidP="00647509">
            <w:pPr>
              <w:pStyle w:val="Table2"/>
            </w:pPr>
            <w:r w:rsidRPr="00E86FB4">
              <w:t>mg/kg</w:t>
            </w:r>
          </w:p>
        </w:tc>
        <w:tc>
          <w:tcPr>
            <w:tcW w:w="543" w:type="dxa"/>
          </w:tcPr>
          <w:p w14:paraId="5C6D2659" w14:textId="77777777" w:rsidR="00F43E18" w:rsidRPr="00E86FB4" w:rsidRDefault="00F43E18" w:rsidP="00647509">
            <w:pPr>
              <w:pStyle w:val="Table2"/>
            </w:pPr>
          </w:p>
        </w:tc>
        <w:tc>
          <w:tcPr>
            <w:tcW w:w="1935" w:type="dxa"/>
            <w:gridSpan w:val="2"/>
          </w:tcPr>
          <w:p w14:paraId="62651087" w14:textId="77777777" w:rsidR="00F43E18" w:rsidRPr="00E86FB4" w:rsidRDefault="00F43E18" w:rsidP="00647509">
            <w:pPr>
              <w:widowControl/>
              <w:tabs>
                <w:tab w:val="left" w:pos="177"/>
              </w:tabs>
              <w:ind w:left="142" w:hanging="142"/>
              <w:rPr>
                <w:bCs/>
                <w:sz w:val="18"/>
              </w:rPr>
            </w:pPr>
          </w:p>
        </w:tc>
      </w:tr>
      <w:tr w:rsidR="00F43E18" w:rsidRPr="00E86FB4" w14:paraId="5A9740A2" w14:textId="77777777" w:rsidTr="00647509">
        <w:tc>
          <w:tcPr>
            <w:tcW w:w="647" w:type="dxa"/>
          </w:tcPr>
          <w:p w14:paraId="2EFDF0A2" w14:textId="77777777" w:rsidR="00F43E18" w:rsidRPr="00E86FB4" w:rsidRDefault="00F43E18" w:rsidP="00647509">
            <w:pPr>
              <w:widowControl/>
              <w:ind w:left="142" w:hanging="142"/>
              <w:rPr>
                <w:bCs/>
                <w:sz w:val="18"/>
              </w:rPr>
            </w:pPr>
          </w:p>
        </w:tc>
        <w:tc>
          <w:tcPr>
            <w:tcW w:w="1798" w:type="dxa"/>
          </w:tcPr>
          <w:p w14:paraId="5F055423" w14:textId="77777777" w:rsidR="00F43E18" w:rsidRPr="00E86FB4" w:rsidRDefault="00F43E18" w:rsidP="00647509">
            <w:pPr>
              <w:pStyle w:val="Table2"/>
            </w:pPr>
            <w:r w:rsidRPr="00E86FB4">
              <w:t>243</w:t>
            </w:r>
          </w:p>
        </w:tc>
        <w:tc>
          <w:tcPr>
            <w:tcW w:w="2883" w:type="dxa"/>
          </w:tcPr>
          <w:p w14:paraId="6A79A205" w14:textId="77777777" w:rsidR="00F43E18" w:rsidRPr="00E86FB4" w:rsidRDefault="00F43E18" w:rsidP="00647509">
            <w:pPr>
              <w:pStyle w:val="Table2"/>
            </w:pPr>
            <w:r w:rsidRPr="00E86FB4">
              <w:t>Ethyl lauroyl arginate</w:t>
            </w:r>
          </w:p>
        </w:tc>
        <w:tc>
          <w:tcPr>
            <w:tcW w:w="729" w:type="dxa"/>
            <w:gridSpan w:val="2"/>
          </w:tcPr>
          <w:p w14:paraId="57499BD1" w14:textId="77777777" w:rsidR="00F43E18" w:rsidRPr="00E86FB4" w:rsidRDefault="00F43E18" w:rsidP="00647509">
            <w:pPr>
              <w:pStyle w:val="Table2"/>
            </w:pPr>
            <w:r w:rsidRPr="00E86FB4">
              <w:t>50</w:t>
            </w:r>
          </w:p>
        </w:tc>
        <w:tc>
          <w:tcPr>
            <w:tcW w:w="710" w:type="dxa"/>
          </w:tcPr>
          <w:p w14:paraId="3DEB8063" w14:textId="77777777" w:rsidR="00F43E18" w:rsidRPr="00E86FB4" w:rsidRDefault="00F43E18" w:rsidP="00647509">
            <w:pPr>
              <w:pStyle w:val="Table2"/>
              <w:rPr>
                <w:szCs w:val="18"/>
              </w:rPr>
            </w:pPr>
            <w:r w:rsidRPr="00E86FB4">
              <w:rPr>
                <w:szCs w:val="18"/>
              </w:rPr>
              <w:t>mg/kg</w:t>
            </w:r>
          </w:p>
        </w:tc>
        <w:tc>
          <w:tcPr>
            <w:tcW w:w="543" w:type="dxa"/>
          </w:tcPr>
          <w:p w14:paraId="0EA9192E" w14:textId="77777777" w:rsidR="00F43E18" w:rsidRPr="00E86FB4" w:rsidRDefault="00F43E18" w:rsidP="00647509">
            <w:pPr>
              <w:pStyle w:val="Table2"/>
            </w:pPr>
          </w:p>
        </w:tc>
        <w:tc>
          <w:tcPr>
            <w:tcW w:w="1935" w:type="dxa"/>
            <w:gridSpan w:val="2"/>
          </w:tcPr>
          <w:p w14:paraId="0837AA91" w14:textId="77777777" w:rsidR="00F43E18" w:rsidRPr="00E86FB4" w:rsidRDefault="00F43E18" w:rsidP="00647509">
            <w:pPr>
              <w:widowControl/>
              <w:tabs>
                <w:tab w:val="left" w:pos="177"/>
              </w:tabs>
              <w:ind w:left="142" w:hanging="142"/>
              <w:rPr>
                <w:bCs/>
                <w:sz w:val="16"/>
                <w:szCs w:val="16"/>
              </w:rPr>
            </w:pPr>
          </w:p>
        </w:tc>
      </w:tr>
      <w:tr w:rsidR="00F43E18" w:rsidRPr="00E86FB4" w14:paraId="268BB362" w14:textId="77777777" w:rsidTr="00647509">
        <w:trPr>
          <w:cantSplit/>
        </w:trPr>
        <w:tc>
          <w:tcPr>
            <w:tcW w:w="647" w:type="dxa"/>
          </w:tcPr>
          <w:p w14:paraId="77977D63" w14:textId="77777777" w:rsidR="00F43E18" w:rsidRPr="00E86FB4" w:rsidRDefault="00F43E18" w:rsidP="00647509">
            <w:pPr>
              <w:widowControl/>
              <w:ind w:left="142" w:hanging="142"/>
              <w:rPr>
                <w:bCs/>
                <w:sz w:val="18"/>
              </w:rPr>
            </w:pPr>
          </w:p>
        </w:tc>
        <w:tc>
          <w:tcPr>
            <w:tcW w:w="1798" w:type="dxa"/>
          </w:tcPr>
          <w:p w14:paraId="09B22672" w14:textId="77777777" w:rsidR="00F43E18" w:rsidRPr="00E86FB4" w:rsidRDefault="00F43E18" w:rsidP="00647509">
            <w:pPr>
              <w:pStyle w:val="Table2"/>
            </w:pPr>
            <w:r w:rsidRPr="00E86FB4">
              <w:t>385</w:t>
            </w:r>
          </w:p>
        </w:tc>
        <w:tc>
          <w:tcPr>
            <w:tcW w:w="2883" w:type="dxa"/>
          </w:tcPr>
          <w:p w14:paraId="1279910C" w14:textId="77777777" w:rsidR="00F43E18" w:rsidRPr="00E86FB4" w:rsidRDefault="00F43E18" w:rsidP="00647509">
            <w:pPr>
              <w:pStyle w:val="Table2"/>
            </w:pPr>
            <w:r w:rsidRPr="00E86FB4">
              <w:t>Calcium disodium EDTA</w:t>
            </w:r>
          </w:p>
        </w:tc>
        <w:tc>
          <w:tcPr>
            <w:tcW w:w="729" w:type="dxa"/>
            <w:gridSpan w:val="2"/>
          </w:tcPr>
          <w:p w14:paraId="5CBE4496" w14:textId="77777777" w:rsidR="00F43E18" w:rsidRPr="00E86FB4" w:rsidRDefault="00F43E18" w:rsidP="00647509">
            <w:pPr>
              <w:pStyle w:val="Table2"/>
            </w:pPr>
            <w:r w:rsidRPr="00E86FB4">
              <w:t>33</w:t>
            </w:r>
          </w:p>
        </w:tc>
        <w:tc>
          <w:tcPr>
            <w:tcW w:w="710" w:type="dxa"/>
          </w:tcPr>
          <w:p w14:paraId="0A5A166C" w14:textId="77777777" w:rsidR="00F43E18" w:rsidRPr="00E86FB4" w:rsidRDefault="00F43E18" w:rsidP="00647509">
            <w:pPr>
              <w:pStyle w:val="Table2"/>
            </w:pPr>
            <w:r w:rsidRPr="00E86FB4">
              <w:t>mg/kg</w:t>
            </w:r>
          </w:p>
        </w:tc>
        <w:tc>
          <w:tcPr>
            <w:tcW w:w="543" w:type="dxa"/>
          </w:tcPr>
          <w:p w14:paraId="3D1ADE3D" w14:textId="77777777" w:rsidR="00F43E18" w:rsidRPr="00E86FB4" w:rsidRDefault="00F43E18" w:rsidP="00647509">
            <w:pPr>
              <w:pStyle w:val="Table2"/>
            </w:pPr>
          </w:p>
        </w:tc>
        <w:tc>
          <w:tcPr>
            <w:tcW w:w="1935" w:type="dxa"/>
            <w:gridSpan w:val="2"/>
          </w:tcPr>
          <w:p w14:paraId="4ACC9C0E" w14:textId="77777777" w:rsidR="00F43E18" w:rsidRPr="00EC184B" w:rsidRDefault="00F43E18" w:rsidP="00647509">
            <w:pPr>
              <w:pStyle w:val="Table2"/>
              <w:rPr>
                <w:sz w:val="16"/>
              </w:rPr>
            </w:pPr>
            <w:r w:rsidRPr="00EC184B">
              <w:rPr>
                <w:sz w:val="16"/>
              </w:rPr>
              <w:t>products containing fruit flavouring, juice or pulp or orange peel extract only</w:t>
            </w:r>
          </w:p>
        </w:tc>
      </w:tr>
      <w:tr w:rsidR="00F43E18" w:rsidRPr="00E86FB4" w14:paraId="6F0B7598" w14:textId="77777777" w:rsidTr="00647509">
        <w:tc>
          <w:tcPr>
            <w:tcW w:w="647" w:type="dxa"/>
          </w:tcPr>
          <w:p w14:paraId="586D7876" w14:textId="77777777" w:rsidR="00F43E18" w:rsidRPr="00E86FB4" w:rsidRDefault="00F43E18" w:rsidP="00647509">
            <w:pPr>
              <w:widowControl/>
              <w:ind w:left="142" w:hanging="142"/>
              <w:rPr>
                <w:bCs/>
                <w:sz w:val="18"/>
              </w:rPr>
            </w:pPr>
          </w:p>
        </w:tc>
        <w:tc>
          <w:tcPr>
            <w:tcW w:w="1798" w:type="dxa"/>
          </w:tcPr>
          <w:p w14:paraId="7AB33A1B" w14:textId="77777777" w:rsidR="00F43E18" w:rsidRPr="00E86FB4" w:rsidRDefault="00F43E18" w:rsidP="00647509">
            <w:pPr>
              <w:pStyle w:val="Table2"/>
            </w:pPr>
            <w:r w:rsidRPr="00E86FB4">
              <w:t>444</w:t>
            </w:r>
          </w:p>
        </w:tc>
        <w:tc>
          <w:tcPr>
            <w:tcW w:w="2883" w:type="dxa"/>
          </w:tcPr>
          <w:p w14:paraId="48C90596" w14:textId="77777777" w:rsidR="00F43E18" w:rsidRPr="00E86FB4" w:rsidRDefault="00F43E18" w:rsidP="00647509">
            <w:pPr>
              <w:pStyle w:val="Table2"/>
            </w:pPr>
            <w:r w:rsidRPr="00E86FB4">
              <w:t>Sucrose acetate isobutyrate</w:t>
            </w:r>
          </w:p>
        </w:tc>
        <w:tc>
          <w:tcPr>
            <w:tcW w:w="729" w:type="dxa"/>
            <w:gridSpan w:val="2"/>
          </w:tcPr>
          <w:p w14:paraId="62E814FF" w14:textId="77777777" w:rsidR="00F43E18" w:rsidRPr="00E86FB4" w:rsidRDefault="00F43E18" w:rsidP="00647509">
            <w:pPr>
              <w:pStyle w:val="Table2"/>
            </w:pPr>
            <w:r w:rsidRPr="00E86FB4">
              <w:t>200</w:t>
            </w:r>
          </w:p>
        </w:tc>
        <w:tc>
          <w:tcPr>
            <w:tcW w:w="710" w:type="dxa"/>
          </w:tcPr>
          <w:p w14:paraId="7C7A5BBE" w14:textId="77777777" w:rsidR="00F43E18" w:rsidRPr="00E86FB4" w:rsidRDefault="00F43E18" w:rsidP="00647509">
            <w:pPr>
              <w:pStyle w:val="Table2"/>
            </w:pPr>
            <w:r w:rsidRPr="00E86FB4">
              <w:t>mg/kg</w:t>
            </w:r>
          </w:p>
        </w:tc>
        <w:tc>
          <w:tcPr>
            <w:tcW w:w="543" w:type="dxa"/>
          </w:tcPr>
          <w:p w14:paraId="7D1E7172" w14:textId="77777777" w:rsidR="00F43E18" w:rsidRPr="00E86FB4" w:rsidRDefault="00F43E18" w:rsidP="00647509">
            <w:pPr>
              <w:pStyle w:val="Table2"/>
            </w:pPr>
          </w:p>
        </w:tc>
        <w:tc>
          <w:tcPr>
            <w:tcW w:w="1935" w:type="dxa"/>
            <w:gridSpan w:val="2"/>
          </w:tcPr>
          <w:p w14:paraId="13F31223" w14:textId="77777777" w:rsidR="00F43E18" w:rsidRPr="00E86FB4" w:rsidRDefault="00F43E18" w:rsidP="00647509">
            <w:pPr>
              <w:widowControl/>
              <w:tabs>
                <w:tab w:val="left" w:pos="177"/>
              </w:tabs>
              <w:ind w:left="142" w:hanging="142"/>
              <w:rPr>
                <w:bCs/>
                <w:sz w:val="18"/>
              </w:rPr>
            </w:pPr>
          </w:p>
        </w:tc>
      </w:tr>
      <w:tr w:rsidR="00F43E18" w:rsidRPr="00E86FB4" w14:paraId="4689378F" w14:textId="77777777" w:rsidTr="00647509">
        <w:tc>
          <w:tcPr>
            <w:tcW w:w="647" w:type="dxa"/>
          </w:tcPr>
          <w:p w14:paraId="25AB40DB" w14:textId="77777777" w:rsidR="00F43E18" w:rsidRPr="00E86FB4" w:rsidRDefault="00F43E18" w:rsidP="00647509">
            <w:pPr>
              <w:widowControl/>
              <w:ind w:left="142" w:hanging="142"/>
              <w:rPr>
                <w:bCs/>
                <w:sz w:val="18"/>
              </w:rPr>
            </w:pPr>
          </w:p>
        </w:tc>
        <w:tc>
          <w:tcPr>
            <w:tcW w:w="1798" w:type="dxa"/>
          </w:tcPr>
          <w:p w14:paraId="35E3D61E" w14:textId="77777777" w:rsidR="00F43E18" w:rsidRPr="00E86FB4" w:rsidRDefault="00F43E18" w:rsidP="00647509">
            <w:pPr>
              <w:pStyle w:val="Table2"/>
            </w:pPr>
            <w:r w:rsidRPr="00E86FB4">
              <w:t>445</w:t>
            </w:r>
          </w:p>
        </w:tc>
        <w:tc>
          <w:tcPr>
            <w:tcW w:w="2883" w:type="dxa"/>
          </w:tcPr>
          <w:p w14:paraId="009A1E76" w14:textId="77777777" w:rsidR="00F43E18" w:rsidRPr="00E86FB4" w:rsidRDefault="00F43E18" w:rsidP="00647509">
            <w:pPr>
              <w:pStyle w:val="Table2"/>
            </w:pPr>
            <w:r w:rsidRPr="00E86FB4">
              <w:t>Glycerol esters of wood rosins</w:t>
            </w:r>
          </w:p>
        </w:tc>
        <w:tc>
          <w:tcPr>
            <w:tcW w:w="729" w:type="dxa"/>
            <w:gridSpan w:val="2"/>
          </w:tcPr>
          <w:p w14:paraId="338F3503" w14:textId="77777777" w:rsidR="00F43E18" w:rsidRPr="00E86FB4" w:rsidRDefault="00F43E18" w:rsidP="00647509">
            <w:pPr>
              <w:pStyle w:val="Table2"/>
            </w:pPr>
            <w:r w:rsidRPr="00E86FB4">
              <w:t>100</w:t>
            </w:r>
          </w:p>
        </w:tc>
        <w:tc>
          <w:tcPr>
            <w:tcW w:w="710" w:type="dxa"/>
          </w:tcPr>
          <w:p w14:paraId="17F18B03" w14:textId="77777777" w:rsidR="00F43E18" w:rsidRPr="00E86FB4" w:rsidRDefault="00F43E18" w:rsidP="00647509">
            <w:pPr>
              <w:pStyle w:val="Table2"/>
            </w:pPr>
            <w:r w:rsidRPr="00E86FB4">
              <w:t>mg/kg</w:t>
            </w:r>
          </w:p>
        </w:tc>
        <w:tc>
          <w:tcPr>
            <w:tcW w:w="543" w:type="dxa"/>
          </w:tcPr>
          <w:p w14:paraId="286EA5AE" w14:textId="77777777" w:rsidR="00F43E18" w:rsidRPr="00E86FB4" w:rsidRDefault="00F43E18" w:rsidP="00647509">
            <w:pPr>
              <w:pStyle w:val="Table2"/>
            </w:pPr>
          </w:p>
        </w:tc>
        <w:tc>
          <w:tcPr>
            <w:tcW w:w="1935" w:type="dxa"/>
            <w:gridSpan w:val="2"/>
          </w:tcPr>
          <w:p w14:paraId="37D6CD28" w14:textId="77777777" w:rsidR="00F43E18" w:rsidRPr="00E86FB4" w:rsidRDefault="00F43E18" w:rsidP="00647509">
            <w:pPr>
              <w:widowControl/>
              <w:tabs>
                <w:tab w:val="left" w:pos="177"/>
              </w:tabs>
              <w:ind w:left="142" w:hanging="142"/>
              <w:rPr>
                <w:bCs/>
                <w:sz w:val="18"/>
              </w:rPr>
            </w:pPr>
          </w:p>
        </w:tc>
      </w:tr>
      <w:tr w:rsidR="00F43E18" w:rsidRPr="00E86FB4" w14:paraId="0E9AB249" w14:textId="77777777" w:rsidTr="00647509">
        <w:tc>
          <w:tcPr>
            <w:tcW w:w="647" w:type="dxa"/>
          </w:tcPr>
          <w:p w14:paraId="192537C7" w14:textId="77777777" w:rsidR="00F43E18" w:rsidRPr="00E86FB4" w:rsidRDefault="00F43E18" w:rsidP="00647509">
            <w:pPr>
              <w:widowControl/>
              <w:ind w:left="142" w:hanging="142"/>
              <w:rPr>
                <w:bCs/>
                <w:sz w:val="18"/>
              </w:rPr>
            </w:pPr>
          </w:p>
        </w:tc>
        <w:tc>
          <w:tcPr>
            <w:tcW w:w="1798" w:type="dxa"/>
          </w:tcPr>
          <w:p w14:paraId="43D98411" w14:textId="77777777" w:rsidR="00F43E18" w:rsidRPr="00E86FB4" w:rsidRDefault="00F43E18" w:rsidP="00647509">
            <w:pPr>
              <w:pStyle w:val="Table2"/>
            </w:pPr>
            <w:r w:rsidRPr="00E86FB4">
              <w:t>480</w:t>
            </w:r>
          </w:p>
        </w:tc>
        <w:tc>
          <w:tcPr>
            <w:tcW w:w="2883" w:type="dxa"/>
          </w:tcPr>
          <w:p w14:paraId="0AAC518D" w14:textId="77777777" w:rsidR="00F43E18" w:rsidRPr="00E86FB4" w:rsidRDefault="00F43E18" w:rsidP="00647509">
            <w:pPr>
              <w:pStyle w:val="Table2"/>
            </w:pPr>
            <w:r w:rsidRPr="00E86FB4">
              <w:t>Dioctyl sodium sulphosuccinate</w:t>
            </w:r>
          </w:p>
        </w:tc>
        <w:tc>
          <w:tcPr>
            <w:tcW w:w="729" w:type="dxa"/>
            <w:gridSpan w:val="2"/>
          </w:tcPr>
          <w:p w14:paraId="0FC14BBE" w14:textId="77777777" w:rsidR="00F43E18" w:rsidRPr="00E86FB4" w:rsidRDefault="00F43E18" w:rsidP="00647509">
            <w:pPr>
              <w:pStyle w:val="Table2"/>
            </w:pPr>
            <w:r w:rsidRPr="00E86FB4">
              <w:t>10</w:t>
            </w:r>
          </w:p>
        </w:tc>
        <w:tc>
          <w:tcPr>
            <w:tcW w:w="710" w:type="dxa"/>
          </w:tcPr>
          <w:p w14:paraId="05837060" w14:textId="77777777" w:rsidR="00F43E18" w:rsidRPr="00E86FB4" w:rsidRDefault="00F43E18" w:rsidP="00647509">
            <w:pPr>
              <w:pStyle w:val="Table2"/>
            </w:pPr>
            <w:r w:rsidRPr="00E86FB4">
              <w:t>mg/kg</w:t>
            </w:r>
          </w:p>
        </w:tc>
        <w:tc>
          <w:tcPr>
            <w:tcW w:w="543" w:type="dxa"/>
          </w:tcPr>
          <w:p w14:paraId="1E7AB6C5" w14:textId="77777777" w:rsidR="00F43E18" w:rsidRPr="00E86FB4" w:rsidRDefault="00F43E18" w:rsidP="00647509">
            <w:pPr>
              <w:pStyle w:val="Table2"/>
            </w:pPr>
          </w:p>
        </w:tc>
        <w:tc>
          <w:tcPr>
            <w:tcW w:w="1935" w:type="dxa"/>
            <w:gridSpan w:val="2"/>
          </w:tcPr>
          <w:p w14:paraId="64C25744" w14:textId="77777777" w:rsidR="00F43E18" w:rsidRPr="00E86FB4" w:rsidRDefault="00F43E18" w:rsidP="00647509">
            <w:pPr>
              <w:widowControl/>
              <w:tabs>
                <w:tab w:val="left" w:pos="177"/>
              </w:tabs>
              <w:ind w:left="142" w:hanging="142"/>
              <w:rPr>
                <w:bCs/>
                <w:sz w:val="18"/>
              </w:rPr>
            </w:pPr>
          </w:p>
        </w:tc>
      </w:tr>
      <w:tr w:rsidR="00F43E18" w:rsidRPr="00E86FB4" w14:paraId="363F7136" w14:textId="77777777" w:rsidTr="00647509">
        <w:tc>
          <w:tcPr>
            <w:tcW w:w="647" w:type="dxa"/>
          </w:tcPr>
          <w:p w14:paraId="5FB6412E" w14:textId="77777777" w:rsidR="00F43E18" w:rsidRPr="00E86FB4" w:rsidRDefault="00F43E18" w:rsidP="00647509">
            <w:pPr>
              <w:widowControl/>
              <w:ind w:left="142" w:hanging="142"/>
              <w:rPr>
                <w:bCs/>
                <w:sz w:val="18"/>
              </w:rPr>
            </w:pPr>
          </w:p>
        </w:tc>
        <w:tc>
          <w:tcPr>
            <w:tcW w:w="1798" w:type="dxa"/>
          </w:tcPr>
          <w:p w14:paraId="6DEF776C" w14:textId="77777777" w:rsidR="00F43E18" w:rsidRPr="007B5F1B" w:rsidRDefault="00F43E18" w:rsidP="00647509">
            <w:pPr>
              <w:pStyle w:val="Table2"/>
            </w:pPr>
            <w:r w:rsidRPr="007B5F1B">
              <w:t>950</w:t>
            </w:r>
          </w:p>
        </w:tc>
        <w:tc>
          <w:tcPr>
            <w:tcW w:w="2883" w:type="dxa"/>
          </w:tcPr>
          <w:p w14:paraId="16C551CA" w14:textId="77777777" w:rsidR="00F43E18" w:rsidRPr="007B5F1B" w:rsidRDefault="00F43E18" w:rsidP="00647509">
            <w:pPr>
              <w:pStyle w:val="Table2"/>
            </w:pPr>
            <w:r w:rsidRPr="007B5F1B">
              <w:t>Acesulphame potassium</w:t>
            </w:r>
          </w:p>
        </w:tc>
        <w:tc>
          <w:tcPr>
            <w:tcW w:w="729" w:type="dxa"/>
            <w:gridSpan w:val="2"/>
          </w:tcPr>
          <w:p w14:paraId="2ADF670F" w14:textId="77777777" w:rsidR="00F43E18" w:rsidRPr="007B5F1B" w:rsidRDefault="00F43E18" w:rsidP="00647509">
            <w:pPr>
              <w:pStyle w:val="Table2"/>
            </w:pPr>
            <w:r w:rsidRPr="007B5F1B">
              <w:t>150</w:t>
            </w:r>
          </w:p>
        </w:tc>
        <w:tc>
          <w:tcPr>
            <w:tcW w:w="710" w:type="dxa"/>
          </w:tcPr>
          <w:p w14:paraId="57817886" w14:textId="77777777" w:rsidR="00F43E18" w:rsidRPr="007B5F1B" w:rsidRDefault="00F43E18" w:rsidP="00647509">
            <w:pPr>
              <w:pStyle w:val="Table2"/>
            </w:pPr>
            <w:r w:rsidRPr="007B5F1B">
              <w:t>mg/kg</w:t>
            </w:r>
          </w:p>
        </w:tc>
        <w:tc>
          <w:tcPr>
            <w:tcW w:w="543" w:type="dxa"/>
          </w:tcPr>
          <w:p w14:paraId="1CF990DC" w14:textId="77777777" w:rsidR="00F43E18" w:rsidRPr="007B5F1B" w:rsidRDefault="00F43E18" w:rsidP="00647509">
            <w:pPr>
              <w:pStyle w:val="Table2"/>
              <w:rPr>
                <w:b/>
              </w:rPr>
            </w:pPr>
          </w:p>
        </w:tc>
        <w:tc>
          <w:tcPr>
            <w:tcW w:w="1935" w:type="dxa"/>
            <w:gridSpan w:val="2"/>
          </w:tcPr>
          <w:p w14:paraId="2D371C25" w14:textId="77777777" w:rsidR="00F43E18" w:rsidRPr="007B5F1B" w:rsidRDefault="00F43E18" w:rsidP="00647509">
            <w:pPr>
              <w:widowControl/>
              <w:ind w:left="142" w:hanging="142"/>
              <w:rPr>
                <w:bCs/>
                <w:sz w:val="18"/>
              </w:rPr>
            </w:pPr>
          </w:p>
        </w:tc>
      </w:tr>
      <w:tr w:rsidR="00F43E18" w:rsidRPr="00E86FB4" w14:paraId="09DE8505" w14:textId="77777777" w:rsidTr="00647509">
        <w:trPr>
          <w:cantSplit/>
        </w:trPr>
        <w:tc>
          <w:tcPr>
            <w:tcW w:w="647" w:type="dxa"/>
            <w:shd w:val="clear" w:color="auto" w:fill="auto"/>
          </w:tcPr>
          <w:p w14:paraId="3AE7002E" w14:textId="77777777" w:rsidR="00F43E18" w:rsidRPr="00E86FB4" w:rsidRDefault="00F43E18" w:rsidP="00647509">
            <w:pPr>
              <w:widowControl/>
              <w:ind w:left="142" w:hanging="142"/>
              <w:rPr>
                <w:bCs/>
                <w:sz w:val="18"/>
              </w:rPr>
            </w:pPr>
          </w:p>
        </w:tc>
        <w:tc>
          <w:tcPr>
            <w:tcW w:w="1798" w:type="dxa"/>
            <w:shd w:val="clear" w:color="auto" w:fill="auto"/>
          </w:tcPr>
          <w:p w14:paraId="4AFEBD33" w14:textId="77777777" w:rsidR="00F43E18" w:rsidRPr="007B5F1B" w:rsidRDefault="00F43E18" w:rsidP="00647509">
            <w:pPr>
              <w:pStyle w:val="Table2"/>
            </w:pPr>
            <w:r>
              <w:t>951</w:t>
            </w:r>
          </w:p>
        </w:tc>
        <w:tc>
          <w:tcPr>
            <w:tcW w:w="2883" w:type="dxa"/>
            <w:shd w:val="clear" w:color="auto" w:fill="auto"/>
          </w:tcPr>
          <w:p w14:paraId="29AD3B39" w14:textId="77777777" w:rsidR="00F43E18" w:rsidRPr="007B5F1B" w:rsidRDefault="00F43E18" w:rsidP="00647509">
            <w:pPr>
              <w:pStyle w:val="Table2"/>
            </w:pPr>
            <w:r w:rsidRPr="007B5F1B">
              <w:t>Aspartame</w:t>
            </w:r>
          </w:p>
        </w:tc>
        <w:tc>
          <w:tcPr>
            <w:tcW w:w="729" w:type="dxa"/>
            <w:gridSpan w:val="2"/>
            <w:shd w:val="clear" w:color="auto" w:fill="auto"/>
          </w:tcPr>
          <w:p w14:paraId="75C5D08C" w14:textId="77777777" w:rsidR="00F43E18" w:rsidRPr="007B5F1B" w:rsidRDefault="00F43E18" w:rsidP="00647509">
            <w:pPr>
              <w:pStyle w:val="Table2"/>
            </w:pPr>
            <w:r w:rsidRPr="007B5F1B">
              <w:t>150</w:t>
            </w:r>
          </w:p>
        </w:tc>
        <w:tc>
          <w:tcPr>
            <w:tcW w:w="710" w:type="dxa"/>
            <w:shd w:val="clear" w:color="auto" w:fill="auto"/>
          </w:tcPr>
          <w:p w14:paraId="40DE78B4" w14:textId="77777777" w:rsidR="00F43E18" w:rsidRPr="007B5F1B" w:rsidRDefault="00F43E18" w:rsidP="00647509">
            <w:pPr>
              <w:pStyle w:val="Table2"/>
            </w:pPr>
            <w:r w:rsidRPr="007B5F1B">
              <w:t>mg/kg</w:t>
            </w:r>
          </w:p>
        </w:tc>
        <w:tc>
          <w:tcPr>
            <w:tcW w:w="543" w:type="dxa"/>
            <w:shd w:val="clear" w:color="auto" w:fill="auto"/>
          </w:tcPr>
          <w:p w14:paraId="31C97652" w14:textId="77777777" w:rsidR="00F43E18" w:rsidRPr="007B5F1B" w:rsidRDefault="00F43E18" w:rsidP="00647509">
            <w:pPr>
              <w:pStyle w:val="Table2"/>
            </w:pPr>
          </w:p>
        </w:tc>
        <w:tc>
          <w:tcPr>
            <w:tcW w:w="1935" w:type="dxa"/>
            <w:gridSpan w:val="2"/>
            <w:shd w:val="clear" w:color="auto" w:fill="auto"/>
          </w:tcPr>
          <w:p w14:paraId="18CCF4F8" w14:textId="77777777" w:rsidR="00F43E18" w:rsidRPr="007B5F1B" w:rsidRDefault="00F43E18" w:rsidP="00647509">
            <w:pPr>
              <w:widowControl/>
              <w:ind w:left="142" w:hanging="142"/>
              <w:rPr>
                <w:bCs/>
                <w:sz w:val="18"/>
              </w:rPr>
            </w:pPr>
          </w:p>
        </w:tc>
      </w:tr>
      <w:tr w:rsidR="00F43E18" w:rsidRPr="00E86FB4" w14:paraId="7AC0BBF1" w14:textId="77777777" w:rsidTr="00647509">
        <w:tc>
          <w:tcPr>
            <w:tcW w:w="647" w:type="dxa"/>
          </w:tcPr>
          <w:p w14:paraId="38A1C9C3" w14:textId="77777777" w:rsidR="00F43E18" w:rsidRPr="00E86FB4" w:rsidRDefault="00F43E18" w:rsidP="00647509">
            <w:pPr>
              <w:widowControl/>
              <w:ind w:left="142" w:hanging="142"/>
              <w:rPr>
                <w:bCs/>
                <w:sz w:val="18"/>
              </w:rPr>
            </w:pPr>
          </w:p>
        </w:tc>
        <w:tc>
          <w:tcPr>
            <w:tcW w:w="1798" w:type="dxa"/>
          </w:tcPr>
          <w:p w14:paraId="31C6197A" w14:textId="77777777" w:rsidR="00F43E18" w:rsidRPr="00E86FB4" w:rsidRDefault="00F43E18" w:rsidP="00647509">
            <w:pPr>
              <w:pStyle w:val="Table2"/>
            </w:pPr>
            <w:r w:rsidRPr="00E86FB4">
              <w:t>954</w:t>
            </w:r>
          </w:p>
        </w:tc>
        <w:tc>
          <w:tcPr>
            <w:tcW w:w="2883" w:type="dxa"/>
          </w:tcPr>
          <w:p w14:paraId="17CC3CC8" w14:textId="77777777" w:rsidR="00F43E18" w:rsidRPr="00E86FB4" w:rsidRDefault="00F43E18" w:rsidP="00647509">
            <w:pPr>
              <w:pStyle w:val="Table2"/>
            </w:pPr>
            <w:r w:rsidRPr="00E86FB4">
              <w:t>Saccharin</w:t>
            </w:r>
          </w:p>
        </w:tc>
        <w:tc>
          <w:tcPr>
            <w:tcW w:w="729" w:type="dxa"/>
            <w:gridSpan w:val="2"/>
          </w:tcPr>
          <w:p w14:paraId="114487DF" w14:textId="77777777" w:rsidR="00F43E18" w:rsidRPr="00E86FB4" w:rsidRDefault="00F43E18" w:rsidP="00647509">
            <w:pPr>
              <w:pStyle w:val="Table2"/>
            </w:pPr>
            <w:r w:rsidRPr="00E86FB4">
              <w:t>150</w:t>
            </w:r>
          </w:p>
        </w:tc>
        <w:tc>
          <w:tcPr>
            <w:tcW w:w="710" w:type="dxa"/>
          </w:tcPr>
          <w:p w14:paraId="0D1D26DE" w14:textId="77777777" w:rsidR="00F43E18" w:rsidRPr="00E86FB4" w:rsidRDefault="00F43E18" w:rsidP="00647509">
            <w:pPr>
              <w:pStyle w:val="Table2"/>
            </w:pPr>
            <w:r w:rsidRPr="00E86FB4">
              <w:t>mg/kg</w:t>
            </w:r>
          </w:p>
        </w:tc>
        <w:tc>
          <w:tcPr>
            <w:tcW w:w="543" w:type="dxa"/>
          </w:tcPr>
          <w:p w14:paraId="3268D69C" w14:textId="77777777" w:rsidR="00F43E18" w:rsidRPr="00E86FB4" w:rsidRDefault="00F43E18" w:rsidP="00647509">
            <w:pPr>
              <w:pStyle w:val="Table2"/>
            </w:pPr>
          </w:p>
        </w:tc>
        <w:tc>
          <w:tcPr>
            <w:tcW w:w="1935" w:type="dxa"/>
            <w:gridSpan w:val="2"/>
          </w:tcPr>
          <w:p w14:paraId="7AFDEED8" w14:textId="77777777" w:rsidR="00F43E18" w:rsidRPr="00E86FB4" w:rsidRDefault="00F43E18" w:rsidP="00647509">
            <w:pPr>
              <w:widowControl/>
              <w:tabs>
                <w:tab w:val="left" w:pos="177"/>
              </w:tabs>
              <w:ind w:left="142" w:hanging="142"/>
              <w:rPr>
                <w:bCs/>
                <w:sz w:val="18"/>
              </w:rPr>
            </w:pPr>
          </w:p>
        </w:tc>
      </w:tr>
      <w:tr w:rsidR="00F43E18" w:rsidRPr="00E86FB4" w14:paraId="76F1D863" w14:textId="77777777" w:rsidTr="00647509">
        <w:tc>
          <w:tcPr>
            <w:tcW w:w="647" w:type="dxa"/>
          </w:tcPr>
          <w:p w14:paraId="4EF706E8" w14:textId="77777777" w:rsidR="00F43E18" w:rsidRPr="00E86FB4" w:rsidRDefault="00F43E18" w:rsidP="00647509">
            <w:pPr>
              <w:widowControl/>
              <w:ind w:left="142" w:hanging="142"/>
              <w:rPr>
                <w:bCs/>
                <w:sz w:val="18"/>
              </w:rPr>
            </w:pPr>
          </w:p>
        </w:tc>
        <w:tc>
          <w:tcPr>
            <w:tcW w:w="1798" w:type="dxa"/>
          </w:tcPr>
          <w:p w14:paraId="75D0E3F2" w14:textId="77777777" w:rsidR="00F43E18" w:rsidRPr="00E86FB4" w:rsidRDefault="00F43E18" w:rsidP="00647509">
            <w:pPr>
              <w:pStyle w:val="Table2"/>
            </w:pPr>
            <w:r w:rsidRPr="00E86FB4">
              <w:t>956</w:t>
            </w:r>
          </w:p>
        </w:tc>
        <w:tc>
          <w:tcPr>
            <w:tcW w:w="2883" w:type="dxa"/>
          </w:tcPr>
          <w:p w14:paraId="69C5A9CE" w14:textId="77777777" w:rsidR="00F43E18" w:rsidRPr="00E86FB4" w:rsidRDefault="00F43E18" w:rsidP="00647509">
            <w:pPr>
              <w:pStyle w:val="Table2"/>
            </w:pPr>
            <w:r w:rsidRPr="00E86FB4">
              <w:t>Alitame</w:t>
            </w:r>
          </w:p>
        </w:tc>
        <w:tc>
          <w:tcPr>
            <w:tcW w:w="729" w:type="dxa"/>
            <w:gridSpan w:val="2"/>
          </w:tcPr>
          <w:p w14:paraId="5F103D71" w14:textId="77777777" w:rsidR="00F43E18" w:rsidRPr="00E86FB4" w:rsidRDefault="00F43E18" w:rsidP="00647509">
            <w:pPr>
              <w:pStyle w:val="Table2"/>
            </w:pPr>
            <w:r w:rsidRPr="00E86FB4">
              <w:t>40</w:t>
            </w:r>
          </w:p>
        </w:tc>
        <w:tc>
          <w:tcPr>
            <w:tcW w:w="710" w:type="dxa"/>
          </w:tcPr>
          <w:p w14:paraId="0D1210B0" w14:textId="77777777" w:rsidR="00F43E18" w:rsidRPr="00E86FB4" w:rsidRDefault="00F43E18" w:rsidP="00647509">
            <w:pPr>
              <w:pStyle w:val="Table2"/>
            </w:pPr>
            <w:r w:rsidRPr="00E86FB4">
              <w:t>mg/kg</w:t>
            </w:r>
          </w:p>
        </w:tc>
        <w:tc>
          <w:tcPr>
            <w:tcW w:w="543" w:type="dxa"/>
          </w:tcPr>
          <w:p w14:paraId="0916F45A" w14:textId="77777777" w:rsidR="00F43E18" w:rsidRPr="00E86FB4" w:rsidRDefault="00F43E18" w:rsidP="00647509">
            <w:pPr>
              <w:pStyle w:val="Table2"/>
            </w:pPr>
          </w:p>
        </w:tc>
        <w:tc>
          <w:tcPr>
            <w:tcW w:w="1935" w:type="dxa"/>
            <w:gridSpan w:val="2"/>
          </w:tcPr>
          <w:p w14:paraId="50A8CDF4" w14:textId="77777777" w:rsidR="00F43E18" w:rsidRPr="00E86FB4" w:rsidRDefault="00F43E18" w:rsidP="00647509">
            <w:pPr>
              <w:widowControl/>
              <w:tabs>
                <w:tab w:val="left" w:pos="177"/>
              </w:tabs>
              <w:ind w:left="142" w:hanging="142"/>
              <w:rPr>
                <w:bCs/>
                <w:sz w:val="18"/>
              </w:rPr>
            </w:pPr>
          </w:p>
        </w:tc>
      </w:tr>
      <w:tr w:rsidR="00F43E18" w:rsidRPr="00E86FB4" w14:paraId="329E9337" w14:textId="77777777" w:rsidTr="00647509">
        <w:tc>
          <w:tcPr>
            <w:tcW w:w="647" w:type="dxa"/>
          </w:tcPr>
          <w:p w14:paraId="37074A7F" w14:textId="77777777" w:rsidR="00F43E18" w:rsidRPr="00E86FB4" w:rsidRDefault="00F43E18" w:rsidP="00647509">
            <w:pPr>
              <w:widowControl/>
              <w:ind w:left="142" w:hanging="142"/>
              <w:rPr>
                <w:bCs/>
                <w:sz w:val="18"/>
              </w:rPr>
            </w:pPr>
          </w:p>
        </w:tc>
        <w:tc>
          <w:tcPr>
            <w:tcW w:w="1798" w:type="dxa"/>
          </w:tcPr>
          <w:p w14:paraId="2DC1BFC8" w14:textId="77777777" w:rsidR="00F43E18" w:rsidRPr="00E86FB4" w:rsidRDefault="00F43E18" w:rsidP="00647509">
            <w:pPr>
              <w:pStyle w:val="Table2"/>
            </w:pPr>
            <w:r w:rsidRPr="00E86FB4">
              <w:t>960</w:t>
            </w:r>
          </w:p>
        </w:tc>
        <w:tc>
          <w:tcPr>
            <w:tcW w:w="2883" w:type="dxa"/>
          </w:tcPr>
          <w:p w14:paraId="7CE726BB" w14:textId="77777777" w:rsidR="00F43E18" w:rsidRPr="00E86FB4" w:rsidRDefault="00F43E18" w:rsidP="00647509">
            <w:pPr>
              <w:pStyle w:val="Table2"/>
            </w:pPr>
            <w:r w:rsidRPr="00E86FB4">
              <w:t>Steviol glycosides</w:t>
            </w:r>
          </w:p>
        </w:tc>
        <w:tc>
          <w:tcPr>
            <w:tcW w:w="729" w:type="dxa"/>
            <w:gridSpan w:val="2"/>
          </w:tcPr>
          <w:p w14:paraId="4AC5D449" w14:textId="77777777" w:rsidR="00F43E18" w:rsidRPr="00E86FB4" w:rsidRDefault="00F43E18" w:rsidP="00647509">
            <w:pPr>
              <w:pStyle w:val="Table2"/>
            </w:pPr>
            <w:r w:rsidRPr="00E86FB4">
              <w:t>200</w:t>
            </w:r>
          </w:p>
        </w:tc>
        <w:tc>
          <w:tcPr>
            <w:tcW w:w="710" w:type="dxa"/>
          </w:tcPr>
          <w:p w14:paraId="226DD435" w14:textId="77777777" w:rsidR="00F43E18" w:rsidRPr="00E86FB4" w:rsidRDefault="00F43E18" w:rsidP="00647509">
            <w:pPr>
              <w:pStyle w:val="Table2"/>
            </w:pPr>
            <w:r w:rsidRPr="00E86FB4">
              <w:t>mg/kg</w:t>
            </w:r>
          </w:p>
        </w:tc>
        <w:tc>
          <w:tcPr>
            <w:tcW w:w="543" w:type="dxa"/>
          </w:tcPr>
          <w:p w14:paraId="6A72A701" w14:textId="77777777" w:rsidR="00F43E18" w:rsidRPr="00E86FB4" w:rsidRDefault="00F43E18" w:rsidP="00647509">
            <w:pPr>
              <w:pStyle w:val="Table2"/>
            </w:pPr>
          </w:p>
        </w:tc>
        <w:tc>
          <w:tcPr>
            <w:tcW w:w="1935" w:type="dxa"/>
            <w:gridSpan w:val="2"/>
          </w:tcPr>
          <w:p w14:paraId="4B7DC294" w14:textId="77777777" w:rsidR="00F43E18" w:rsidRPr="00E86FB4" w:rsidRDefault="00F43E18" w:rsidP="00647509">
            <w:pPr>
              <w:widowControl/>
              <w:ind w:left="142" w:hanging="142"/>
              <w:rPr>
                <w:bCs/>
                <w:sz w:val="18"/>
              </w:rPr>
            </w:pPr>
          </w:p>
        </w:tc>
      </w:tr>
      <w:tr w:rsidR="00F43E18" w:rsidRPr="00E86FB4" w14:paraId="323F0165" w14:textId="77777777" w:rsidTr="00647509">
        <w:tc>
          <w:tcPr>
            <w:tcW w:w="647" w:type="dxa"/>
          </w:tcPr>
          <w:p w14:paraId="08826A98" w14:textId="77777777" w:rsidR="00F43E18" w:rsidRPr="00E86FB4" w:rsidRDefault="00F43E18" w:rsidP="00647509">
            <w:pPr>
              <w:widowControl/>
              <w:ind w:left="142" w:hanging="142"/>
              <w:rPr>
                <w:bCs/>
                <w:sz w:val="18"/>
              </w:rPr>
            </w:pPr>
          </w:p>
        </w:tc>
        <w:tc>
          <w:tcPr>
            <w:tcW w:w="1798" w:type="dxa"/>
          </w:tcPr>
          <w:p w14:paraId="0E3FF2E2" w14:textId="77777777" w:rsidR="00F43E18" w:rsidRPr="007B5F1B" w:rsidRDefault="00F43E18" w:rsidP="00647509">
            <w:pPr>
              <w:pStyle w:val="Table2"/>
            </w:pPr>
            <w:r w:rsidRPr="007B5F1B">
              <w:t>962</w:t>
            </w:r>
          </w:p>
        </w:tc>
        <w:tc>
          <w:tcPr>
            <w:tcW w:w="2883" w:type="dxa"/>
          </w:tcPr>
          <w:p w14:paraId="46557B47" w14:textId="77777777" w:rsidR="00F43E18" w:rsidRPr="007B5F1B" w:rsidRDefault="00F43E18" w:rsidP="00647509">
            <w:pPr>
              <w:pStyle w:val="Table2"/>
            </w:pPr>
            <w:r w:rsidRPr="007B5F1B">
              <w:t>Aspartame-acesulphame salt</w:t>
            </w:r>
          </w:p>
        </w:tc>
        <w:tc>
          <w:tcPr>
            <w:tcW w:w="729" w:type="dxa"/>
            <w:gridSpan w:val="2"/>
          </w:tcPr>
          <w:p w14:paraId="58672EF4" w14:textId="77777777" w:rsidR="00F43E18" w:rsidRPr="007B5F1B" w:rsidRDefault="00F43E18" w:rsidP="00647509">
            <w:pPr>
              <w:pStyle w:val="Table2"/>
            </w:pPr>
            <w:r w:rsidRPr="007B5F1B">
              <w:t>230</w:t>
            </w:r>
          </w:p>
        </w:tc>
        <w:tc>
          <w:tcPr>
            <w:tcW w:w="710" w:type="dxa"/>
          </w:tcPr>
          <w:p w14:paraId="09813085" w14:textId="77777777" w:rsidR="00F43E18" w:rsidRPr="007B5F1B" w:rsidRDefault="00F43E18" w:rsidP="00647509">
            <w:pPr>
              <w:pStyle w:val="Table2"/>
            </w:pPr>
            <w:r w:rsidRPr="007B5F1B">
              <w:t>mg/kg</w:t>
            </w:r>
          </w:p>
        </w:tc>
        <w:tc>
          <w:tcPr>
            <w:tcW w:w="543" w:type="dxa"/>
          </w:tcPr>
          <w:p w14:paraId="3C2F04AE" w14:textId="77777777" w:rsidR="00F43E18" w:rsidRPr="007B5F1B" w:rsidRDefault="00F43E18" w:rsidP="00647509">
            <w:pPr>
              <w:pStyle w:val="Table2"/>
              <w:rPr>
                <w:b/>
              </w:rPr>
            </w:pPr>
          </w:p>
        </w:tc>
        <w:tc>
          <w:tcPr>
            <w:tcW w:w="1935" w:type="dxa"/>
            <w:gridSpan w:val="2"/>
          </w:tcPr>
          <w:p w14:paraId="72D3610C" w14:textId="77777777" w:rsidR="00F43E18" w:rsidRPr="007B5F1B" w:rsidRDefault="00F43E18" w:rsidP="00647509">
            <w:pPr>
              <w:widowControl/>
              <w:ind w:left="142" w:hanging="142"/>
              <w:rPr>
                <w:bCs/>
                <w:sz w:val="18"/>
              </w:rPr>
            </w:pPr>
          </w:p>
        </w:tc>
      </w:tr>
      <w:tr w:rsidR="00F43E18" w:rsidRPr="00E86FB4" w14:paraId="3168899D" w14:textId="77777777" w:rsidTr="00647509">
        <w:trPr>
          <w:gridAfter w:val="1"/>
          <w:wAfter w:w="9" w:type="dxa"/>
          <w:cantSplit/>
        </w:trPr>
        <w:tc>
          <w:tcPr>
            <w:tcW w:w="647" w:type="dxa"/>
          </w:tcPr>
          <w:p w14:paraId="3625593B" w14:textId="77777777" w:rsidR="00F43E18" w:rsidRPr="00E86FB4" w:rsidRDefault="00F43E18" w:rsidP="00647509">
            <w:pPr>
              <w:widowControl/>
              <w:ind w:left="142" w:hanging="142"/>
              <w:rPr>
                <w:bCs/>
                <w:sz w:val="18"/>
              </w:rPr>
            </w:pPr>
          </w:p>
        </w:tc>
        <w:tc>
          <w:tcPr>
            <w:tcW w:w="1798" w:type="dxa"/>
          </w:tcPr>
          <w:p w14:paraId="51DD0898" w14:textId="77777777" w:rsidR="00F43E18" w:rsidRPr="00E86FB4" w:rsidRDefault="00F43E18" w:rsidP="00647509">
            <w:pPr>
              <w:pStyle w:val="Table2"/>
            </w:pPr>
            <w:r w:rsidRPr="00E86FB4">
              <w:t>999(i) and (ii)</w:t>
            </w:r>
          </w:p>
        </w:tc>
        <w:tc>
          <w:tcPr>
            <w:tcW w:w="2903" w:type="dxa"/>
            <w:gridSpan w:val="2"/>
          </w:tcPr>
          <w:p w14:paraId="279F9918" w14:textId="77777777" w:rsidR="00F43E18" w:rsidRPr="00E86FB4" w:rsidRDefault="00F43E18" w:rsidP="00647509">
            <w:pPr>
              <w:pStyle w:val="Table2"/>
              <w:rPr>
                <w:szCs w:val="18"/>
              </w:rPr>
            </w:pPr>
            <w:r w:rsidRPr="00E86FB4">
              <w:rPr>
                <w:szCs w:val="18"/>
              </w:rPr>
              <w:t>Quillaia saponins (from Quillaia extract type 1 and type 2)</w:t>
            </w:r>
          </w:p>
        </w:tc>
        <w:tc>
          <w:tcPr>
            <w:tcW w:w="709" w:type="dxa"/>
          </w:tcPr>
          <w:p w14:paraId="30C0FA72" w14:textId="77777777" w:rsidR="00F43E18" w:rsidRPr="00E86FB4" w:rsidRDefault="00F43E18" w:rsidP="00647509">
            <w:pPr>
              <w:widowControl/>
              <w:ind w:left="142" w:hanging="142"/>
              <w:rPr>
                <w:bCs/>
                <w:sz w:val="18"/>
              </w:rPr>
            </w:pPr>
            <w:r w:rsidRPr="00E86FB4">
              <w:rPr>
                <w:bCs/>
                <w:sz w:val="18"/>
              </w:rPr>
              <w:t>40</w:t>
            </w:r>
          </w:p>
        </w:tc>
        <w:tc>
          <w:tcPr>
            <w:tcW w:w="710" w:type="dxa"/>
          </w:tcPr>
          <w:p w14:paraId="7654C140" w14:textId="77777777" w:rsidR="00F43E18" w:rsidRPr="00E86FB4" w:rsidRDefault="00F43E18" w:rsidP="00647509">
            <w:pPr>
              <w:pStyle w:val="Table2"/>
            </w:pPr>
            <w:r w:rsidRPr="00E86FB4">
              <w:t>mg/kg</w:t>
            </w:r>
          </w:p>
        </w:tc>
        <w:tc>
          <w:tcPr>
            <w:tcW w:w="543" w:type="dxa"/>
          </w:tcPr>
          <w:p w14:paraId="2C86AC49" w14:textId="77777777" w:rsidR="00F43E18" w:rsidRPr="00E86FB4" w:rsidRDefault="00F43E18" w:rsidP="00647509">
            <w:pPr>
              <w:pStyle w:val="Table2"/>
            </w:pPr>
          </w:p>
        </w:tc>
        <w:tc>
          <w:tcPr>
            <w:tcW w:w="1926" w:type="dxa"/>
          </w:tcPr>
          <w:p w14:paraId="458C460F" w14:textId="77777777" w:rsidR="00F43E18" w:rsidRPr="00E86FB4" w:rsidRDefault="00F43E18" w:rsidP="00647509">
            <w:pPr>
              <w:widowControl/>
              <w:ind w:left="142" w:hanging="142"/>
              <w:rPr>
                <w:bCs/>
                <w:sz w:val="18"/>
              </w:rPr>
            </w:pPr>
          </w:p>
        </w:tc>
      </w:tr>
    </w:tbl>
    <w:p w14:paraId="12740F8C" w14:textId="77777777" w:rsidR="00F43E18" w:rsidRPr="00A870AD" w:rsidRDefault="00F43E18" w:rsidP="00F43E18">
      <w:pPr>
        <w:pStyle w:val="Subclause"/>
        <w:widowControl/>
        <w:jc w:val="right"/>
      </w:pPr>
      <w:r w:rsidRPr="00A870AD">
        <w:t>”</w:t>
      </w:r>
    </w:p>
    <w:p w14:paraId="09853A97" w14:textId="77777777" w:rsidR="00F43E18" w:rsidRDefault="00F43E18" w:rsidP="00F43E18">
      <w:pPr>
        <w:pStyle w:val="Subclause"/>
        <w:widowControl/>
        <w:rPr>
          <w:b/>
        </w:rPr>
      </w:pPr>
    </w:p>
    <w:p w14:paraId="57256655" w14:textId="77777777" w:rsidR="00F43E18" w:rsidRPr="00220986" w:rsidRDefault="00F43E18" w:rsidP="00F43E18">
      <w:pPr>
        <w:pStyle w:val="Subclause"/>
        <w:widowControl/>
      </w:pPr>
      <w:r w:rsidRPr="00220986">
        <w:lastRenderedPageBreak/>
        <w:t>[</w:t>
      </w:r>
      <w:r>
        <w:t>2</w:t>
      </w:r>
      <w:r w:rsidRPr="00220986">
        <w:t>.3]</w:t>
      </w:r>
      <w:r w:rsidRPr="00220986">
        <w:tab/>
        <w:t xml:space="preserve">omitting the heading “13.5 Food for special medical purposes*” in Schedule 1 and substituting “13.6 Food for special medical purposes*”   </w:t>
      </w:r>
    </w:p>
    <w:p w14:paraId="50D39C8D" w14:textId="77777777" w:rsidR="00F43E18" w:rsidRPr="00220986" w:rsidRDefault="00F43E18" w:rsidP="00F43E18">
      <w:pPr>
        <w:pStyle w:val="Clause"/>
        <w:widowControl/>
      </w:pPr>
    </w:p>
    <w:p w14:paraId="6129A69C" w14:textId="77777777" w:rsidR="00F43E18" w:rsidRPr="00220986" w:rsidRDefault="00F43E18" w:rsidP="00F43E18">
      <w:pPr>
        <w:pStyle w:val="Subclause"/>
        <w:widowControl/>
      </w:pPr>
      <w:r w:rsidRPr="00220986">
        <w:t>[</w:t>
      </w:r>
      <w:r>
        <w:t>2</w:t>
      </w:r>
      <w:r w:rsidRPr="00220986">
        <w:t>.4]</w:t>
      </w:r>
      <w:r w:rsidRPr="00220986">
        <w:tab/>
        <w:t>omitting the heading “13.5.1 Liquid food for special medical purposes*” in Schedule 1 and substituting “13.6.1 Liquid food for special medical purposes*”</w:t>
      </w:r>
    </w:p>
    <w:p w14:paraId="15E9A343" w14:textId="77777777" w:rsidR="00F43E18" w:rsidRPr="00220986" w:rsidRDefault="00F43E18" w:rsidP="00F43E18">
      <w:pPr>
        <w:pStyle w:val="Clause"/>
        <w:widowControl/>
      </w:pPr>
    </w:p>
    <w:p w14:paraId="3F290D18" w14:textId="77777777" w:rsidR="00F43E18" w:rsidRPr="00220986" w:rsidRDefault="00F43E18" w:rsidP="00F43E18">
      <w:pPr>
        <w:pStyle w:val="Subclause"/>
        <w:widowControl/>
      </w:pPr>
      <w:r w:rsidRPr="00220986">
        <w:t>[</w:t>
      </w:r>
      <w:r>
        <w:t>2</w:t>
      </w:r>
      <w:r w:rsidRPr="00220986">
        <w:t>.5]</w:t>
      </w:r>
      <w:r w:rsidRPr="00220986">
        <w:tab/>
        <w:t>omitting the heading “13.5.2 Food for special medical purposes other than liquids*” in Schedule 1 and substituting “13.6.2 Food for special medical purposes other than liquids*”</w:t>
      </w:r>
    </w:p>
    <w:p w14:paraId="24E81DB3" w14:textId="77777777" w:rsidR="00F43E18" w:rsidRPr="0097646E" w:rsidRDefault="00F43E18" w:rsidP="00F43E18">
      <w:pPr>
        <w:pStyle w:val="Clause"/>
        <w:widowControl/>
      </w:pPr>
    </w:p>
    <w:p w14:paraId="77C8168B" w14:textId="77777777" w:rsidR="00F43E18" w:rsidRDefault="00F43E18" w:rsidP="00F43E18">
      <w:pPr>
        <w:pStyle w:val="Subclause"/>
        <w:widowControl/>
      </w:pPr>
      <w:r w:rsidRPr="002301A1">
        <w:rPr>
          <w:b/>
        </w:rPr>
        <w:t>[3]</w:t>
      </w:r>
      <w:r w:rsidRPr="002301A1">
        <w:rPr>
          <w:b/>
        </w:rPr>
        <w:tab/>
        <w:t xml:space="preserve">Standard 2.6.2 </w:t>
      </w:r>
      <w:r w:rsidRPr="00BC3497">
        <w:t>is varied by</w:t>
      </w:r>
    </w:p>
    <w:p w14:paraId="5215CD61" w14:textId="77777777" w:rsidR="00F43E18" w:rsidRDefault="00F43E18" w:rsidP="00F43E18">
      <w:pPr>
        <w:pStyle w:val="Clause"/>
        <w:widowControl/>
      </w:pPr>
    </w:p>
    <w:p w14:paraId="2974D7E2" w14:textId="77777777" w:rsidR="00F43E18" w:rsidRDefault="00F43E18" w:rsidP="00F43E18">
      <w:pPr>
        <w:pStyle w:val="Subclause"/>
        <w:widowControl/>
      </w:pPr>
      <w:r>
        <w:t>[3.1]</w:t>
      </w:r>
      <w:r>
        <w:tab/>
        <w:t>omitting the Purpose and substituting</w:t>
      </w:r>
    </w:p>
    <w:p w14:paraId="028AC42F" w14:textId="77777777" w:rsidR="00F43E18" w:rsidRDefault="00F43E18" w:rsidP="00F43E18">
      <w:pPr>
        <w:pStyle w:val="Clause"/>
        <w:widowControl/>
      </w:pPr>
    </w:p>
    <w:p w14:paraId="2094F2B4" w14:textId="77777777" w:rsidR="00F43E18" w:rsidRPr="00C70875" w:rsidRDefault="00F43E18" w:rsidP="00F43E18">
      <w:pPr>
        <w:pStyle w:val="Clauseheading"/>
        <w:widowControl/>
      </w:pPr>
      <w:r w:rsidRPr="00951979">
        <w:rPr>
          <w:b w:val="0"/>
        </w:rPr>
        <w:t>“</w:t>
      </w:r>
      <w:r w:rsidRPr="00C70875">
        <w:t>Purpose</w:t>
      </w:r>
    </w:p>
    <w:p w14:paraId="0D2F9CA4" w14:textId="77777777" w:rsidR="00F43E18" w:rsidRPr="00C70875" w:rsidRDefault="00F43E18" w:rsidP="00F43E18">
      <w:pPr>
        <w:pStyle w:val="Subclause"/>
        <w:widowControl/>
      </w:pPr>
    </w:p>
    <w:p w14:paraId="7699015D" w14:textId="77777777" w:rsidR="00F43E18" w:rsidRPr="00C70875" w:rsidRDefault="00F43E18" w:rsidP="00F43E18">
      <w:pPr>
        <w:pStyle w:val="Clause"/>
        <w:widowControl/>
      </w:pPr>
      <w:r w:rsidRPr="00C70875">
        <w:t>This Standard deals with packaged waters and water-based beverages which contain food additives and in certain cases, nutritive substances.  The Standard defines a number of products and sets certain compositional requirements for packaged water, brewed soft drinks and formulated beverages.  The Standard also permits the voluntary addition of fluoride to water presented in packaged form.</w:t>
      </w:r>
    </w:p>
    <w:p w14:paraId="66D6390E" w14:textId="77777777" w:rsidR="00F43E18" w:rsidRPr="00C70875" w:rsidRDefault="00F43E18" w:rsidP="00F43E18">
      <w:pPr>
        <w:pStyle w:val="Clause"/>
        <w:widowControl/>
      </w:pPr>
    </w:p>
    <w:p w14:paraId="4357BA0F" w14:textId="77777777" w:rsidR="00F43E18" w:rsidRPr="00C70875" w:rsidRDefault="00F43E18" w:rsidP="00F43E18">
      <w:pPr>
        <w:pStyle w:val="Clause"/>
        <w:widowControl/>
      </w:pPr>
      <w:r w:rsidRPr="00C70875">
        <w:t>Labelling requirements specific to water presented in packaged form are included in this Standard.  This Standard also prohibits the labelling or presentation of non-alcoholic beverages in such a way as to suggest the product is an alcoholic beverage.”</w:t>
      </w:r>
    </w:p>
    <w:p w14:paraId="1789A17A" w14:textId="77777777" w:rsidR="00F43E18" w:rsidRDefault="00F43E18" w:rsidP="00F43E18">
      <w:pPr>
        <w:pStyle w:val="Clause"/>
        <w:widowControl/>
      </w:pPr>
    </w:p>
    <w:p w14:paraId="16047880" w14:textId="77777777" w:rsidR="00F43E18" w:rsidRDefault="00F43E18" w:rsidP="00F43E18">
      <w:pPr>
        <w:pStyle w:val="Subclause"/>
        <w:widowControl/>
      </w:pPr>
      <w:r>
        <w:t>[3.2]</w:t>
      </w:r>
      <w:r>
        <w:tab/>
        <w:t xml:space="preserve">omitting the definitions of </w:t>
      </w:r>
      <w:r>
        <w:rPr>
          <w:b/>
        </w:rPr>
        <w:t>electrolyte drink</w:t>
      </w:r>
      <w:r>
        <w:t xml:space="preserve"> and </w:t>
      </w:r>
      <w:r>
        <w:rPr>
          <w:b/>
        </w:rPr>
        <w:t>electrolyte drink base</w:t>
      </w:r>
      <w:r>
        <w:t xml:space="preserve"> in clause 1</w:t>
      </w:r>
    </w:p>
    <w:p w14:paraId="448F7C4C" w14:textId="77777777" w:rsidR="00F43E18" w:rsidRDefault="00F43E18" w:rsidP="00F43E18">
      <w:pPr>
        <w:pStyle w:val="Subclause"/>
        <w:widowControl/>
      </w:pPr>
    </w:p>
    <w:p w14:paraId="4FA0597B" w14:textId="77777777" w:rsidR="00F43E18" w:rsidRDefault="00F43E18" w:rsidP="00F43E18">
      <w:pPr>
        <w:pStyle w:val="Subclause"/>
        <w:widowControl/>
      </w:pPr>
      <w:r>
        <w:t>[3.3]</w:t>
      </w:r>
      <w:r>
        <w:tab/>
        <w:t xml:space="preserve">omitting the definition of </w:t>
      </w:r>
      <w:r>
        <w:rPr>
          <w:b/>
        </w:rPr>
        <w:t>non-alcoholic beverage</w:t>
      </w:r>
      <w:r>
        <w:t xml:space="preserve"> in clause 1 and substituting</w:t>
      </w:r>
    </w:p>
    <w:p w14:paraId="5595B6C6" w14:textId="77777777" w:rsidR="00F43E18" w:rsidRDefault="00F43E18" w:rsidP="00F43E18">
      <w:pPr>
        <w:pStyle w:val="Subclause"/>
        <w:widowControl/>
      </w:pPr>
    </w:p>
    <w:p w14:paraId="6B91A3C4" w14:textId="77777777" w:rsidR="00F43E18" w:rsidRPr="003F761E" w:rsidRDefault="00F43E18" w:rsidP="00F43E18">
      <w:pPr>
        <w:pStyle w:val="Definition"/>
        <w:widowControl/>
      </w:pPr>
      <w:r>
        <w:t>“</w:t>
      </w:r>
      <w:r w:rsidRPr="003F761E">
        <w:rPr>
          <w:b/>
        </w:rPr>
        <w:t>non-alcoholic beverage</w:t>
      </w:r>
      <w:r w:rsidRPr="003F761E">
        <w:t xml:space="preserve"> means –</w:t>
      </w:r>
    </w:p>
    <w:p w14:paraId="4D448E3D" w14:textId="77777777" w:rsidR="00F43E18" w:rsidRPr="003F761E" w:rsidRDefault="00F43E18" w:rsidP="00F43E18">
      <w:pPr>
        <w:pStyle w:val="Definition"/>
        <w:widowControl/>
      </w:pPr>
    </w:p>
    <w:p w14:paraId="5A1193B3" w14:textId="77777777" w:rsidR="00F43E18" w:rsidRDefault="00F43E18" w:rsidP="00F43E18">
      <w:pPr>
        <w:pStyle w:val="Subparagraph"/>
        <w:widowControl/>
      </w:pPr>
      <w:r>
        <w:t>(a)</w:t>
      </w:r>
      <w:r>
        <w:tab/>
        <w:t>packaged water; or</w:t>
      </w:r>
    </w:p>
    <w:p w14:paraId="6F5C1630" w14:textId="77777777" w:rsidR="00F43E18" w:rsidRPr="00041CA2" w:rsidRDefault="00F43E18" w:rsidP="00F43E18">
      <w:pPr>
        <w:pStyle w:val="Subparagraph"/>
        <w:widowControl/>
      </w:pPr>
      <w:r>
        <w:t>(b)</w:t>
      </w:r>
      <w:r>
        <w:tab/>
        <w:t>a water-based beverage which may or may not contain other foods, except for alcoholic beverages.”</w:t>
      </w:r>
    </w:p>
    <w:p w14:paraId="3ACC1950" w14:textId="77777777" w:rsidR="00F43E18" w:rsidRDefault="00F43E18" w:rsidP="00F43E18">
      <w:pPr>
        <w:widowControl/>
        <w:rPr>
          <w:sz w:val="20"/>
        </w:rPr>
      </w:pPr>
    </w:p>
    <w:p w14:paraId="42F3DEDD" w14:textId="77777777" w:rsidR="00F43E18" w:rsidRDefault="00F43E18" w:rsidP="00F43E18">
      <w:pPr>
        <w:pStyle w:val="Subclause"/>
        <w:widowControl/>
      </w:pPr>
      <w:r>
        <w:t>[3.4]</w:t>
      </w:r>
      <w:r>
        <w:tab/>
        <w:t>omitting clauses 6 to 8</w:t>
      </w:r>
    </w:p>
    <w:p w14:paraId="20B9A518" w14:textId="77777777" w:rsidR="00F43E18" w:rsidRDefault="00F43E18" w:rsidP="00F43E18">
      <w:pPr>
        <w:pStyle w:val="Subclause"/>
        <w:widowControl/>
      </w:pPr>
    </w:p>
    <w:p w14:paraId="0CFF5746" w14:textId="77777777" w:rsidR="00F43E18" w:rsidRDefault="00F43E18" w:rsidP="00F43E18">
      <w:pPr>
        <w:pStyle w:val="Subclause"/>
        <w:widowControl/>
      </w:pPr>
      <w:r>
        <w:t>[3.5]</w:t>
      </w:r>
      <w:r>
        <w:tab/>
        <w:t xml:space="preserve">omitting the heading to clause 9 and substituting “6 </w:t>
      </w:r>
      <w:r w:rsidRPr="00C45D1C">
        <w:t>Composition of formulated beverages</w:t>
      </w:r>
      <w:r>
        <w:t>”</w:t>
      </w:r>
    </w:p>
    <w:p w14:paraId="3AC3CBD5" w14:textId="77777777" w:rsidR="00F43E18" w:rsidRDefault="00F43E18" w:rsidP="00F43E18">
      <w:pPr>
        <w:pStyle w:val="Clause"/>
        <w:widowControl/>
      </w:pPr>
    </w:p>
    <w:p w14:paraId="046F7516" w14:textId="77777777" w:rsidR="00F43E18" w:rsidRPr="00252C52" w:rsidRDefault="00F43E18" w:rsidP="00F43E18">
      <w:pPr>
        <w:pStyle w:val="Subclause"/>
        <w:widowControl/>
      </w:pPr>
      <w:r>
        <w:t>[3.6]</w:t>
      </w:r>
      <w:r>
        <w:tab/>
      </w:r>
      <w:r w:rsidRPr="00654331">
        <w:t>updating the Table of Provisions</w:t>
      </w:r>
      <w:r w:rsidRPr="00654331">
        <w:rPr>
          <w:iCs/>
        </w:rPr>
        <w:t xml:space="preserve"> to reflect these variations</w:t>
      </w:r>
    </w:p>
    <w:p w14:paraId="42EB8424" w14:textId="77777777" w:rsidR="00F43E18" w:rsidRDefault="00F43E18" w:rsidP="00F43E18">
      <w:pPr>
        <w:pStyle w:val="Clause"/>
        <w:widowControl/>
      </w:pPr>
    </w:p>
    <w:p w14:paraId="603926ED" w14:textId="77777777" w:rsidR="00F43E18" w:rsidRPr="000C2A8D" w:rsidRDefault="00F43E18" w:rsidP="00F43E18">
      <w:pPr>
        <w:pStyle w:val="Clause"/>
        <w:widowControl/>
        <w:rPr>
          <w:b/>
          <w:bCs/>
        </w:rPr>
      </w:pPr>
      <w:r w:rsidRPr="000C2A8D">
        <w:rPr>
          <w:b/>
          <w:bCs/>
        </w:rPr>
        <w:t>[</w:t>
      </w:r>
      <w:r>
        <w:rPr>
          <w:b/>
          <w:bCs/>
        </w:rPr>
        <w:t>4</w:t>
      </w:r>
      <w:r w:rsidRPr="000C2A8D">
        <w:rPr>
          <w:b/>
          <w:bCs/>
        </w:rPr>
        <w:t>]</w:t>
      </w:r>
      <w:r w:rsidRPr="000C2A8D">
        <w:rPr>
          <w:b/>
          <w:bCs/>
        </w:rPr>
        <w:tab/>
        <w:t xml:space="preserve">Standard 2.9.4 </w:t>
      </w:r>
      <w:r w:rsidRPr="000C2A8D">
        <w:rPr>
          <w:bCs/>
        </w:rPr>
        <w:t>is varied by</w:t>
      </w:r>
    </w:p>
    <w:p w14:paraId="0B9747BD" w14:textId="77777777" w:rsidR="00F43E18" w:rsidRPr="00BC3497" w:rsidRDefault="00F43E18" w:rsidP="00F43E18">
      <w:pPr>
        <w:pStyle w:val="Clause"/>
        <w:widowControl/>
      </w:pPr>
    </w:p>
    <w:p w14:paraId="45A7D7E1" w14:textId="77777777" w:rsidR="00F43E18" w:rsidRDefault="00F43E18" w:rsidP="00F43E18">
      <w:pPr>
        <w:pStyle w:val="Subclause"/>
        <w:widowControl/>
      </w:pPr>
      <w:r w:rsidRPr="00B67CEA">
        <w:t>[</w:t>
      </w:r>
      <w:r>
        <w:t>4</w:t>
      </w:r>
      <w:r w:rsidRPr="00B67CEA">
        <w:t>.1]</w:t>
      </w:r>
      <w:r w:rsidRPr="00B67CEA">
        <w:tab/>
      </w:r>
      <w:r w:rsidRPr="00420D10">
        <w:t>omitting the heading of the Standard and substituting “Formulated Supplementary Sports Foods and Electrolyte Drinks”</w:t>
      </w:r>
    </w:p>
    <w:p w14:paraId="68DCD283" w14:textId="3B0E5EE0" w:rsidR="00F43E18" w:rsidRDefault="00F43E18" w:rsidP="00F43E18">
      <w:pPr>
        <w:pStyle w:val="Subclause"/>
        <w:widowControl/>
      </w:pPr>
      <w:r>
        <w:t>[4.2]</w:t>
      </w:r>
      <w:r>
        <w:tab/>
      </w:r>
      <w:r w:rsidRPr="0006757C">
        <w:t>omitting the Purpose and substituting</w:t>
      </w:r>
    </w:p>
    <w:p w14:paraId="7A84DB88" w14:textId="77777777" w:rsidR="00F43E18" w:rsidRDefault="00F43E18" w:rsidP="00F43E18">
      <w:pPr>
        <w:pStyle w:val="Subclause"/>
        <w:widowControl/>
      </w:pPr>
    </w:p>
    <w:p w14:paraId="55E6D87B" w14:textId="77777777" w:rsidR="00F43E18" w:rsidRDefault="00F43E18" w:rsidP="00F43E18">
      <w:pPr>
        <w:pStyle w:val="Clauseheading"/>
        <w:widowControl/>
      </w:pPr>
      <w:r w:rsidRPr="00951979">
        <w:rPr>
          <w:b w:val="0"/>
        </w:rPr>
        <w:t>“</w:t>
      </w:r>
      <w:r w:rsidRPr="00C70875">
        <w:t>Purpose</w:t>
      </w:r>
    </w:p>
    <w:p w14:paraId="140BCC11" w14:textId="77777777" w:rsidR="00F43E18" w:rsidRPr="00F46E09" w:rsidRDefault="00F43E18" w:rsidP="00F43E18">
      <w:pPr>
        <w:pStyle w:val="Subclause"/>
        <w:widowControl/>
      </w:pPr>
    </w:p>
    <w:p w14:paraId="23A05270" w14:textId="77777777" w:rsidR="00F43E18" w:rsidRDefault="00F43E18" w:rsidP="00F43E18">
      <w:pPr>
        <w:pStyle w:val="Clause"/>
        <w:widowControl/>
        <w:rPr>
          <w:lang w:val="en-AU" w:eastAsia="en-GB"/>
        </w:rPr>
      </w:pPr>
      <w:r w:rsidRPr="00C93C27">
        <w:t xml:space="preserve">This Standard </w:t>
      </w:r>
      <w:r w:rsidRPr="00C93C27">
        <w:rPr>
          <w:lang w:val="en-AU" w:eastAsia="en-GB"/>
        </w:rPr>
        <w:t xml:space="preserve">defines and regulates the composition and labelling of foods specially formulated to assist sports people in achieving specific nutritional or performance goals, </w:t>
      </w:r>
      <w:r>
        <w:rPr>
          <w:lang w:val="en-AU" w:eastAsia="en-GB"/>
        </w:rPr>
        <w:t>and</w:t>
      </w:r>
      <w:r w:rsidRPr="00C93C27">
        <w:rPr>
          <w:lang w:val="en-AU" w:eastAsia="en-GB"/>
        </w:rPr>
        <w:t xml:space="preserve"> electrolyte drinks.  Such foods are intended as supplements to a diet rather than for use as the sole or principal source of nutrition</w:t>
      </w:r>
      <w:r>
        <w:rPr>
          <w:lang w:val="en-AU" w:eastAsia="en-GB"/>
        </w:rPr>
        <w:t>.</w:t>
      </w:r>
    </w:p>
    <w:p w14:paraId="5887573F" w14:textId="77777777" w:rsidR="00F43E18" w:rsidRPr="00F46E09" w:rsidRDefault="00F43E18" w:rsidP="00F43E18">
      <w:pPr>
        <w:widowControl/>
        <w:rPr>
          <w:lang w:val="en-AU" w:eastAsia="en-GB"/>
        </w:rPr>
      </w:pPr>
    </w:p>
    <w:p w14:paraId="5B2AED71" w14:textId="77777777" w:rsidR="00F43E18" w:rsidRPr="00C93C27" w:rsidRDefault="00F43E18" w:rsidP="00F43E18">
      <w:pPr>
        <w:pStyle w:val="Subclause"/>
        <w:widowControl/>
        <w:rPr>
          <w:rFonts w:cs="Arial"/>
        </w:rPr>
      </w:pPr>
      <w:r w:rsidRPr="00C93C27">
        <w:rPr>
          <w:rFonts w:cs="Arial"/>
          <w:lang w:val="en-AU" w:eastAsia="en-GB"/>
        </w:rPr>
        <w:lastRenderedPageBreak/>
        <w:t>Due to the particular physiological demands of sports people, this Standard provides for the addition to formulated supplementary sports foods of certain micronutrients and other ingredients which are not permitted to be added to other foods.  This means that such products are not suitable for consumption by children.</w:t>
      </w:r>
      <w:r>
        <w:rPr>
          <w:rFonts w:cs="Arial"/>
          <w:lang w:val="en-AU" w:eastAsia="en-GB"/>
        </w:rPr>
        <w:t>”</w:t>
      </w:r>
    </w:p>
    <w:p w14:paraId="18E3F4ED" w14:textId="77777777" w:rsidR="00F43E18" w:rsidRDefault="00F43E18" w:rsidP="00F43E18">
      <w:pPr>
        <w:pStyle w:val="Subclause"/>
        <w:widowControl/>
      </w:pPr>
    </w:p>
    <w:p w14:paraId="7C37D8A6" w14:textId="77777777" w:rsidR="00F43E18" w:rsidRDefault="00F43E18" w:rsidP="00F43E18">
      <w:pPr>
        <w:pStyle w:val="Subclause"/>
        <w:widowControl/>
      </w:pPr>
      <w:r>
        <w:t>[4.3]</w:t>
      </w:r>
      <w:r>
        <w:tab/>
        <w:t xml:space="preserve">omitting the heading of Division 1 and substituting </w:t>
      </w:r>
      <w:r w:rsidRPr="003F6B92">
        <w:rPr>
          <w:rFonts w:cs="Arial"/>
        </w:rPr>
        <w:t>“</w:t>
      </w:r>
      <w:r>
        <w:t>Division 1 – Introduction</w:t>
      </w:r>
      <w:r w:rsidRPr="003F6B92">
        <w:rPr>
          <w:rFonts w:cs="Arial"/>
        </w:rPr>
        <w:t>”</w:t>
      </w:r>
    </w:p>
    <w:p w14:paraId="057F4D1F" w14:textId="77777777" w:rsidR="00F43E18" w:rsidRDefault="00F43E18" w:rsidP="00F43E18">
      <w:pPr>
        <w:pStyle w:val="Subclause"/>
        <w:widowControl/>
      </w:pPr>
    </w:p>
    <w:p w14:paraId="7FBE58A1" w14:textId="77777777" w:rsidR="00F43E18" w:rsidRDefault="00F43E18" w:rsidP="00F43E18">
      <w:pPr>
        <w:pStyle w:val="Subclause"/>
        <w:widowControl/>
      </w:pPr>
      <w:r>
        <w:t>[4.4]</w:t>
      </w:r>
      <w:r>
        <w:tab/>
        <w:t xml:space="preserve">omitting clause 1 and substituting </w:t>
      </w:r>
    </w:p>
    <w:p w14:paraId="445B056F" w14:textId="77777777" w:rsidR="00F43E18" w:rsidRDefault="00F43E18" w:rsidP="00F43E18">
      <w:pPr>
        <w:pStyle w:val="Subclause"/>
        <w:widowControl/>
      </w:pPr>
    </w:p>
    <w:p w14:paraId="72EC515B" w14:textId="77777777" w:rsidR="00F43E18" w:rsidRDefault="00F43E18" w:rsidP="00F43E18">
      <w:pPr>
        <w:pStyle w:val="Clauseheading"/>
        <w:widowControl/>
      </w:pPr>
      <w:r w:rsidRPr="006A3D8A">
        <w:rPr>
          <w:b w:val="0"/>
        </w:rPr>
        <w:t>“</w:t>
      </w:r>
      <w:r>
        <w:t>1</w:t>
      </w:r>
      <w:r>
        <w:tab/>
        <w:t>Interpretation</w:t>
      </w:r>
    </w:p>
    <w:p w14:paraId="6EFA0EAF" w14:textId="77777777" w:rsidR="00F43E18" w:rsidRDefault="00F43E18" w:rsidP="00F43E18">
      <w:pPr>
        <w:pStyle w:val="Subclause"/>
        <w:widowControl/>
      </w:pPr>
    </w:p>
    <w:p w14:paraId="0A124EE2" w14:textId="77777777" w:rsidR="00F43E18" w:rsidRPr="00075C5B" w:rsidRDefault="00F43E18" w:rsidP="00F43E18">
      <w:pPr>
        <w:pStyle w:val="Subclause"/>
        <w:widowControl/>
      </w:pPr>
      <w:r>
        <w:t>(1)</w:t>
      </w:r>
      <w:r>
        <w:tab/>
        <w:t xml:space="preserve">In this Code </w:t>
      </w:r>
      <w:r w:rsidRPr="003F761E">
        <w:t>–</w:t>
      </w:r>
    </w:p>
    <w:p w14:paraId="7B68D897" w14:textId="77777777" w:rsidR="00F43E18" w:rsidRDefault="00F43E18" w:rsidP="00F43E18">
      <w:pPr>
        <w:pStyle w:val="Subclause"/>
        <w:widowControl/>
      </w:pPr>
    </w:p>
    <w:p w14:paraId="004A044F" w14:textId="77777777" w:rsidR="00F43E18" w:rsidRDefault="00F43E18" w:rsidP="00F43E18">
      <w:pPr>
        <w:pStyle w:val="Definition"/>
        <w:widowControl/>
      </w:pPr>
      <w:r w:rsidRPr="003F761E">
        <w:rPr>
          <w:b/>
        </w:rPr>
        <w:t>electrolyte</w:t>
      </w:r>
      <w:r w:rsidRPr="003F761E">
        <w:t xml:space="preserve"> </w:t>
      </w:r>
      <w:r w:rsidRPr="00CA0B68">
        <w:rPr>
          <w:b/>
        </w:rPr>
        <w:t>drink</w:t>
      </w:r>
      <w:r w:rsidRPr="003F761E">
        <w:t xml:space="preserve"> </w:t>
      </w:r>
      <w:r>
        <w:t>means a drink formulated for the rapid replacement of fluid, carbohydrates and electrolytes lost as a result of sustained strenuous physical activity.</w:t>
      </w:r>
    </w:p>
    <w:p w14:paraId="3293EA18" w14:textId="77777777" w:rsidR="00F43E18" w:rsidRDefault="00F43E18" w:rsidP="00F43E18">
      <w:pPr>
        <w:pStyle w:val="Subclause"/>
      </w:pPr>
    </w:p>
    <w:p w14:paraId="6F8878AD" w14:textId="77777777" w:rsidR="00F43E18" w:rsidRDefault="00F43E18" w:rsidP="00F43E18">
      <w:pPr>
        <w:pStyle w:val="Definition"/>
        <w:widowControl/>
      </w:pPr>
      <w:r w:rsidRPr="00CA0B68">
        <w:rPr>
          <w:b/>
        </w:rPr>
        <w:t>electrolyte drink base</w:t>
      </w:r>
      <w:r w:rsidRPr="00CA0B68">
        <w:t xml:space="preserve"> means a solid or liquid which when made up, makes an electrolyte drink.</w:t>
      </w:r>
    </w:p>
    <w:p w14:paraId="618A8AE5" w14:textId="77777777" w:rsidR="00F43E18" w:rsidRDefault="00F43E18" w:rsidP="00F43E18">
      <w:pPr>
        <w:pStyle w:val="Subclause"/>
      </w:pPr>
    </w:p>
    <w:p w14:paraId="1AFF4B62" w14:textId="77777777" w:rsidR="00F43E18" w:rsidRDefault="00F43E18" w:rsidP="00F43E18">
      <w:pPr>
        <w:pStyle w:val="Definition"/>
        <w:widowControl/>
      </w:pPr>
      <w:r w:rsidRPr="006B4B3C">
        <w:rPr>
          <w:b/>
        </w:rPr>
        <w:t>formulated supplementary sports</w:t>
      </w:r>
      <w:r>
        <w:rPr>
          <w:b/>
        </w:rPr>
        <w:t xml:space="preserve"> </w:t>
      </w:r>
      <w:r w:rsidRPr="006B4B3C">
        <w:rPr>
          <w:b/>
        </w:rPr>
        <w:t>food</w:t>
      </w:r>
      <w:r w:rsidRPr="006B4B3C">
        <w:t xml:space="preserve"> means a food or mixture of foods specifically formulated to assist sports people in achieving specific nutritional or performance goals, and does not include electrolyte drinks and electrolyte drink bases.</w:t>
      </w:r>
    </w:p>
    <w:p w14:paraId="4EFBC06C" w14:textId="77777777" w:rsidR="00F43E18" w:rsidRDefault="00F43E18" w:rsidP="00F43E18">
      <w:pPr>
        <w:pStyle w:val="Subclause"/>
      </w:pPr>
    </w:p>
    <w:p w14:paraId="2B11D690" w14:textId="77777777" w:rsidR="00F43E18" w:rsidRPr="006B4B3C" w:rsidRDefault="00F43E18" w:rsidP="00F43E18">
      <w:pPr>
        <w:pStyle w:val="Definition"/>
        <w:widowControl/>
      </w:pPr>
      <w:r>
        <w:rPr>
          <w:b/>
        </w:rPr>
        <w:t>one-day quantity</w:t>
      </w:r>
      <w:r>
        <w:t xml:space="preserve"> in relation to formulated supplementary sports food, means the amount of that food which is to be consumed in one day in accordance with directions specified in the label.</w:t>
      </w:r>
      <w:r w:rsidRPr="006B4B3C">
        <w:t xml:space="preserve"> </w:t>
      </w:r>
    </w:p>
    <w:p w14:paraId="6661184B" w14:textId="77777777" w:rsidR="00F43E18" w:rsidRDefault="00F43E18" w:rsidP="00F43E18">
      <w:pPr>
        <w:pStyle w:val="Subclause"/>
        <w:widowControl/>
      </w:pPr>
    </w:p>
    <w:p w14:paraId="35EDE81D" w14:textId="77777777" w:rsidR="00F43E18" w:rsidRDefault="00F43E18" w:rsidP="00F43E18">
      <w:pPr>
        <w:pStyle w:val="Subclause"/>
        <w:widowControl/>
      </w:pPr>
      <w:r>
        <w:t>(2)</w:t>
      </w:r>
      <w:r>
        <w:tab/>
        <w:t xml:space="preserve">In Division 4 of this Standard </w:t>
      </w:r>
      <w:r w:rsidRPr="003F761E">
        <w:t>–</w:t>
      </w:r>
    </w:p>
    <w:p w14:paraId="02EE6579" w14:textId="77777777" w:rsidR="00F43E18" w:rsidRDefault="00F43E18" w:rsidP="00F43E18">
      <w:pPr>
        <w:pStyle w:val="Clause"/>
        <w:widowControl/>
      </w:pPr>
    </w:p>
    <w:p w14:paraId="0EB78AA2" w14:textId="77777777" w:rsidR="00F43E18" w:rsidRDefault="00F43E18" w:rsidP="00F43E18">
      <w:pPr>
        <w:pStyle w:val="Definition"/>
        <w:widowControl/>
      </w:pPr>
      <w:r w:rsidRPr="00145CB9">
        <w:rPr>
          <w:b/>
        </w:rPr>
        <w:t>the</w:t>
      </w:r>
      <w:r>
        <w:t xml:space="preserve"> </w:t>
      </w:r>
      <w:r w:rsidRPr="00145CB9">
        <w:rPr>
          <w:b/>
        </w:rPr>
        <w:t>Variation</w:t>
      </w:r>
      <w:r w:rsidRPr="00145CB9">
        <w:t xml:space="preserve"> means the </w:t>
      </w:r>
      <w:r w:rsidRPr="00ED41BD">
        <w:rPr>
          <w:i/>
        </w:rPr>
        <w:t xml:space="preserve">Food Standards (Proposal P1030 – Health Claims </w:t>
      </w:r>
      <w:r>
        <w:rPr>
          <w:i/>
        </w:rPr>
        <w:t xml:space="preserve">– </w:t>
      </w:r>
      <w:r w:rsidRPr="00ED41BD">
        <w:rPr>
          <w:i/>
        </w:rPr>
        <w:t>For</w:t>
      </w:r>
      <w:r>
        <w:rPr>
          <w:i/>
        </w:rPr>
        <w:t>mulated Supplementary</w:t>
      </w:r>
      <w:r w:rsidRPr="00ED41BD">
        <w:rPr>
          <w:i/>
        </w:rPr>
        <w:t xml:space="preserve"> Sports Foods &amp; Electrolyte Drinks) Variation</w:t>
      </w:r>
      <w:r>
        <w:t>.”</w:t>
      </w:r>
    </w:p>
    <w:p w14:paraId="324E1AC2" w14:textId="77777777" w:rsidR="00F43E18" w:rsidRDefault="00F43E18" w:rsidP="00F43E18">
      <w:pPr>
        <w:pStyle w:val="Definition"/>
        <w:widowControl/>
      </w:pPr>
    </w:p>
    <w:p w14:paraId="79654DE7" w14:textId="77777777" w:rsidR="00F43E18" w:rsidRDefault="00F43E18" w:rsidP="00F43E18">
      <w:pPr>
        <w:pStyle w:val="Subclause"/>
        <w:widowControl/>
      </w:pPr>
      <w:r>
        <w:t>[4.5]</w:t>
      </w:r>
      <w:r>
        <w:tab/>
        <w:t>inserting after clause 1</w:t>
      </w:r>
    </w:p>
    <w:p w14:paraId="3E6A976C" w14:textId="77777777" w:rsidR="00F43E18" w:rsidRDefault="00F43E18" w:rsidP="00F43E18">
      <w:pPr>
        <w:pStyle w:val="Subclause"/>
        <w:widowControl/>
      </w:pPr>
    </w:p>
    <w:p w14:paraId="1A3FD17E" w14:textId="77777777" w:rsidR="00F43E18" w:rsidRDefault="00F43E18" w:rsidP="00F43E18">
      <w:pPr>
        <w:pStyle w:val="DivisionHeading"/>
        <w:widowControl/>
      </w:pPr>
      <w:r w:rsidRPr="006A421D">
        <w:rPr>
          <w:rFonts w:cs="Arial"/>
          <w:b w:val="0"/>
          <w:sz w:val="20"/>
        </w:rPr>
        <w:t>“</w:t>
      </w:r>
      <w:r>
        <w:t>Division 2 – Formulated Supplementary Sports Foods Generally</w:t>
      </w:r>
      <w:r w:rsidRPr="002301A1">
        <w:rPr>
          <w:rFonts w:cs="Arial"/>
          <w:b w:val="0"/>
          <w:sz w:val="20"/>
          <w:szCs w:val="22"/>
        </w:rPr>
        <w:t>”</w:t>
      </w:r>
    </w:p>
    <w:p w14:paraId="1D549EA6" w14:textId="77777777" w:rsidR="00F43E18" w:rsidRDefault="00F43E18" w:rsidP="00F43E18">
      <w:pPr>
        <w:pStyle w:val="Subclause"/>
        <w:widowControl/>
      </w:pPr>
    </w:p>
    <w:p w14:paraId="525711E8" w14:textId="77777777" w:rsidR="00F43E18" w:rsidRDefault="00F43E18" w:rsidP="00F43E18">
      <w:pPr>
        <w:pStyle w:val="Subclause"/>
        <w:widowControl/>
      </w:pPr>
      <w:r>
        <w:t>[4.6]</w:t>
      </w:r>
      <w:r>
        <w:tab/>
        <w:t>omitting clause 6 and substituting</w:t>
      </w:r>
    </w:p>
    <w:p w14:paraId="7156D5AF" w14:textId="77777777" w:rsidR="00F43E18" w:rsidRDefault="00F43E18" w:rsidP="00F43E18">
      <w:pPr>
        <w:pStyle w:val="Subclause"/>
        <w:widowControl/>
      </w:pPr>
    </w:p>
    <w:p w14:paraId="2B5083B3" w14:textId="77777777" w:rsidR="00F43E18" w:rsidRPr="00C25200" w:rsidRDefault="00F43E18" w:rsidP="00F43E18">
      <w:pPr>
        <w:pStyle w:val="Clauseheading"/>
        <w:widowControl/>
      </w:pPr>
      <w:r w:rsidRPr="00BB4143">
        <w:rPr>
          <w:b w:val="0"/>
        </w:rPr>
        <w:t>“</w:t>
      </w:r>
      <w:r>
        <w:t>6</w:t>
      </w:r>
      <w:r>
        <w:tab/>
        <w:t>Health claims</w:t>
      </w:r>
    </w:p>
    <w:p w14:paraId="4AD93DDF" w14:textId="77777777" w:rsidR="00F43E18" w:rsidRDefault="00F43E18" w:rsidP="00F43E18">
      <w:pPr>
        <w:pStyle w:val="Subclause"/>
        <w:widowControl/>
      </w:pPr>
    </w:p>
    <w:p w14:paraId="0B2777AB" w14:textId="77777777" w:rsidR="00F43E18" w:rsidRDefault="00F43E18" w:rsidP="00F43E18">
      <w:pPr>
        <w:pStyle w:val="Subclause"/>
        <w:widowControl/>
      </w:pPr>
      <w:r>
        <w:t xml:space="preserve">(1) </w:t>
      </w:r>
      <w:r>
        <w:tab/>
        <w:t>This c</w:t>
      </w:r>
      <w:r w:rsidRPr="00B47191">
        <w:t xml:space="preserve">lause does not apply to </w:t>
      </w:r>
      <w:r>
        <w:t>a statement that is permitted by Division 3.</w:t>
      </w:r>
      <w:r w:rsidRPr="00B47191">
        <w:t xml:space="preserve"> </w:t>
      </w:r>
    </w:p>
    <w:p w14:paraId="0426A4EE" w14:textId="77777777" w:rsidR="00F43E18" w:rsidRDefault="00F43E18" w:rsidP="00F43E18">
      <w:pPr>
        <w:pStyle w:val="Subclause"/>
        <w:widowControl/>
      </w:pPr>
    </w:p>
    <w:p w14:paraId="5991EEB7" w14:textId="77777777" w:rsidR="00F43E18" w:rsidRDefault="00F43E18" w:rsidP="00F43E18">
      <w:pPr>
        <w:pStyle w:val="Subclause"/>
        <w:widowControl/>
      </w:pPr>
      <w:r>
        <w:t xml:space="preserve">(2) </w:t>
      </w:r>
      <w:r>
        <w:tab/>
        <w:t xml:space="preserve">A health claim made about a formulated supplementary sports food must </w:t>
      </w:r>
      <w:r w:rsidRPr="003F761E">
        <w:t>–</w:t>
      </w:r>
    </w:p>
    <w:p w14:paraId="4E7FBB6B" w14:textId="77777777" w:rsidR="00F43E18" w:rsidRDefault="00F43E18" w:rsidP="00F43E18">
      <w:pPr>
        <w:pStyle w:val="Subclause"/>
        <w:widowControl/>
      </w:pPr>
    </w:p>
    <w:p w14:paraId="1545E904" w14:textId="77777777" w:rsidR="00F43E18" w:rsidRDefault="00F43E18" w:rsidP="00F43E18">
      <w:pPr>
        <w:pStyle w:val="Paragraph"/>
        <w:widowControl/>
      </w:pPr>
      <w:r>
        <w:t>(a)</w:t>
      </w:r>
      <w:r>
        <w:tab/>
        <w:t>be made in accordance with Standard 1.2.7; and</w:t>
      </w:r>
    </w:p>
    <w:p w14:paraId="3608FC92" w14:textId="77777777" w:rsidR="00F43E18" w:rsidRPr="0041578D" w:rsidRDefault="00F43E18" w:rsidP="00F43E18">
      <w:pPr>
        <w:pStyle w:val="Paragraph"/>
        <w:widowControl/>
        <w:rPr>
          <w:highlight w:val="yellow"/>
        </w:rPr>
      </w:pPr>
      <w:r>
        <w:t>(b)</w:t>
      </w:r>
      <w:r>
        <w:tab/>
      </w:r>
      <w:r w:rsidRPr="00C8186E">
        <w:rPr>
          <w:lang w:val="en-AU"/>
        </w:rPr>
        <w:t xml:space="preserve">relate only to </w:t>
      </w:r>
      <w:r w:rsidRPr="00C8186E">
        <w:t>the specific nutritional or performance goal or goals for sports people that the food was formulated to achieve</w:t>
      </w:r>
      <w:r w:rsidRPr="007565E0">
        <w:t>.”</w:t>
      </w:r>
    </w:p>
    <w:p w14:paraId="11CE36C6" w14:textId="77777777" w:rsidR="00F43E18" w:rsidRDefault="00F43E18" w:rsidP="00F43E18">
      <w:pPr>
        <w:pStyle w:val="ListParagraph"/>
      </w:pPr>
    </w:p>
    <w:p w14:paraId="2F17F337" w14:textId="77777777" w:rsidR="00F43E18" w:rsidRDefault="00F43E18" w:rsidP="00F43E18">
      <w:pPr>
        <w:pStyle w:val="Subclause"/>
        <w:widowControl/>
      </w:pPr>
      <w:r>
        <w:t>[4.7]</w:t>
      </w:r>
      <w:r>
        <w:tab/>
        <w:t xml:space="preserve">omitting the heading of Division 2 and substituting </w:t>
      </w:r>
      <w:r w:rsidRPr="003F6B92">
        <w:rPr>
          <w:rFonts w:cs="Arial"/>
        </w:rPr>
        <w:t>“</w:t>
      </w:r>
      <w:r>
        <w:t>Division 3 – Particular Formulated Supplementary Sports Foods</w:t>
      </w:r>
      <w:r w:rsidRPr="002301A1">
        <w:t>”</w:t>
      </w:r>
    </w:p>
    <w:p w14:paraId="08F00A67" w14:textId="4B5AA633" w:rsidR="00F43E18" w:rsidRDefault="00F43E18" w:rsidP="00F43E18">
      <w:pPr>
        <w:pStyle w:val="Subclause"/>
        <w:widowControl/>
      </w:pPr>
      <w:r>
        <w:t>[4.8]</w:t>
      </w:r>
      <w:r>
        <w:tab/>
        <w:t>inserting after clause 9</w:t>
      </w:r>
    </w:p>
    <w:p w14:paraId="7BCBD30D" w14:textId="77777777" w:rsidR="00F43E18" w:rsidRDefault="00F43E18" w:rsidP="00F43E18">
      <w:pPr>
        <w:pStyle w:val="Subclause"/>
        <w:widowControl/>
      </w:pPr>
    </w:p>
    <w:p w14:paraId="556C9E6B" w14:textId="77777777" w:rsidR="00F43E18" w:rsidRDefault="00F43E18" w:rsidP="00F43E18">
      <w:pPr>
        <w:pStyle w:val="DivisionHeading"/>
        <w:widowControl/>
      </w:pPr>
      <w:r w:rsidRPr="002301A1">
        <w:rPr>
          <w:rFonts w:cs="Arial"/>
          <w:b w:val="0"/>
          <w:sz w:val="20"/>
          <w:szCs w:val="22"/>
        </w:rPr>
        <w:t>“</w:t>
      </w:r>
      <w:r>
        <w:t>Division 4 – Electrolyte Drinks and Electrolyte Drink Bases</w:t>
      </w:r>
    </w:p>
    <w:p w14:paraId="43066316" w14:textId="77777777" w:rsidR="00F43E18" w:rsidRDefault="00F43E18" w:rsidP="00F43E18">
      <w:pPr>
        <w:pStyle w:val="Clauseheading"/>
        <w:widowControl/>
      </w:pPr>
    </w:p>
    <w:p w14:paraId="67141244" w14:textId="77777777" w:rsidR="00F43E18" w:rsidRDefault="00F43E18" w:rsidP="00F43E18">
      <w:pPr>
        <w:pStyle w:val="Clauseheading"/>
        <w:widowControl/>
      </w:pPr>
      <w:r>
        <w:lastRenderedPageBreak/>
        <w:t>10</w:t>
      </w:r>
      <w:r>
        <w:tab/>
        <w:t>Application of Divisions 2 and 3 to electrolyte drinks and electrolyte drink bases</w:t>
      </w:r>
    </w:p>
    <w:p w14:paraId="080D9B4A" w14:textId="77777777" w:rsidR="00F43E18" w:rsidRDefault="00F43E18" w:rsidP="00F43E18">
      <w:pPr>
        <w:pStyle w:val="Subclause"/>
        <w:widowControl/>
        <w:rPr>
          <w:b/>
        </w:rPr>
      </w:pPr>
    </w:p>
    <w:p w14:paraId="0D0B1E88" w14:textId="77777777" w:rsidR="00F43E18" w:rsidRDefault="00F43E18" w:rsidP="00F43E18">
      <w:pPr>
        <w:pStyle w:val="Clause"/>
        <w:widowControl/>
      </w:pPr>
      <w:r>
        <w:t>Divisions 2 and 3 do not apply to electrolyte drinks and electrolyte drink bases.</w:t>
      </w:r>
    </w:p>
    <w:p w14:paraId="7E9F072B" w14:textId="77777777" w:rsidR="00F43E18" w:rsidRDefault="00F43E18" w:rsidP="00F43E18">
      <w:pPr>
        <w:pStyle w:val="Clauseheading"/>
        <w:widowControl/>
      </w:pPr>
    </w:p>
    <w:p w14:paraId="35E2EC91" w14:textId="77777777" w:rsidR="00F43E18" w:rsidRPr="007565E0" w:rsidRDefault="00F43E18" w:rsidP="00F43E18">
      <w:pPr>
        <w:pStyle w:val="Clauseheading"/>
        <w:widowControl/>
      </w:pPr>
      <w:r w:rsidRPr="007565E0">
        <w:t>1</w:t>
      </w:r>
      <w:r>
        <w:t>1</w:t>
      </w:r>
      <w:r w:rsidRPr="007565E0">
        <w:tab/>
        <w:t>Application of stock-in-trade provision</w:t>
      </w:r>
    </w:p>
    <w:p w14:paraId="5D9A3889" w14:textId="77777777" w:rsidR="00F43E18" w:rsidRPr="007565E0" w:rsidRDefault="00F43E18" w:rsidP="00F43E18">
      <w:pPr>
        <w:widowControl/>
      </w:pPr>
    </w:p>
    <w:p w14:paraId="0077D303" w14:textId="77777777" w:rsidR="00F43E18" w:rsidRPr="007565E0" w:rsidRDefault="00F43E18" w:rsidP="00F43E18">
      <w:pPr>
        <w:pStyle w:val="Clause"/>
        <w:widowControl/>
      </w:pPr>
      <w:r w:rsidRPr="007565E0">
        <w:t xml:space="preserve">Subclause 1(2) of Standard 1.1.1 does not apply to </w:t>
      </w:r>
      <w:r>
        <w:t xml:space="preserve">the </w:t>
      </w:r>
      <w:r w:rsidRPr="007565E0">
        <w:t>amendments made by the Variation in relation to electrolyte drinks and electrolyte drink bases.</w:t>
      </w:r>
    </w:p>
    <w:p w14:paraId="0FE6DB81" w14:textId="77777777" w:rsidR="00F43E18" w:rsidRPr="007565E0" w:rsidRDefault="00F43E18" w:rsidP="00F43E18">
      <w:pPr>
        <w:pStyle w:val="Clauseheading"/>
        <w:widowControl/>
      </w:pPr>
    </w:p>
    <w:p w14:paraId="267FAD4C" w14:textId="77777777" w:rsidR="00F43E18" w:rsidRPr="007565E0" w:rsidRDefault="00F43E18" w:rsidP="00F43E18">
      <w:pPr>
        <w:pStyle w:val="Clauseheading"/>
        <w:widowControl/>
      </w:pPr>
      <w:r w:rsidRPr="007565E0">
        <w:t>1</w:t>
      </w:r>
      <w:r>
        <w:t>2</w:t>
      </w:r>
      <w:r w:rsidRPr="007565E0">
        <w:tab/>
        <w:t xml:space="preserve">Transitional </w:t>
      </w:r>
      <w:r>
        <w:t>arrangement to</w:t>
      </w:r>
      <w:r w:rsidRPr="007565E0">
        <w:t xml:space="preserve"> 18 January 2016</w:t>
      </w:r>
    </w:p>
    <w:p w14:paraId="0B27FBE4" w14:textId="77777777" w:rsidR="00F43E18" w:rsidRPr="007565E0" w:rsidRDefault="00F43E18" w:rsidP="00F43E18">
      <w:pPr>
        <w:widowControl/>
      </w:pPr>
    </w:p>
    <w:p w14:paraId="17F7094C" w14:textId="77777777" w:rsidR="00F43E18" w:rsidRPr="007565E0" w:rsidRDefault="00F43E18" w:rsidP="00F43E18">
      <w:pPr>
        <w:pStyle w:val="Subclause"/>
        <w:widowControl/>
      </w:pPr>
      <w:r>
        <w:t>(1)</w:t>
      </w:r>
      <w:r>
        <w:tab/>
      </w:r>
      <w:r w:rsidRPr="007565E0">
        <w:t>Notwithstanding clauses 1</w:t>
      </w:r>
      <w:r>
        <w:t>4</w:t>
      </w:r>
      <w:r w:rsidRPr="007565E0">
        <w:t xml:space="preserve"> to 1</w:t>
      </w:r>
      <w:r>
        <w:t>7</w:t>
      </w:r>
      <w:r w:rsidRPr="007565E0">
        <w:t xml:space="preserve">, during the transitional period, an electrolyte drink or electrolyte drink base may comply with either – </w:t>
      </w:r>
    </w:p>
    <w:p w14:paraId="7B2C71EC" w14:textId="77777777" w:rsidR="00F43E18" w:rsidRPr="007565E0" w:rsidRDefault="00F43E18" w:rsidP="00F43E18">
      <w:pPr>
        <w:pStyle w:val="Subclause"/>
        <w:widowControl/>
      </w:pPr>
    </w:p>
    <w:p w14:paraId="731B73F6" w14:textId="77777777" w:rsidR="00F43E18" w:rsidRPr="007565E0" w:rsidRDefault="00F43E18" w:rsidP="00F43E18">
      <w:pPr>
        <w:pStyle w:val="Paragraph"/>
        <w:widowControl/>
      </w:pPr>
      <w:r>
        <w:t>(a)</w:t>
      </w:r>
      <w:r>
        <w:tab/>
      </w:r>
      <w:r w:rsidRPr="007565E0">
        <w:t>the Code; or</w:t>
      </w:r>
    </w:p>
    <w:p w14:paraId="7F3CAB4F" w14:textId="77777777" w:rsidR="00F43E18" w:rsidRPr="007565E0" w:rsidRDefault="00F43E18" w:rsidP="00F43E18">
      <w:pPr>
        <w:pStyle w:val="Paragraph"/>
        <w:widowControl/>
      </w:pPr>
      <w:r>
        <w:t>(b)</w:t>
      </w:r>
      <w:r>
        <w:tab/>
      </w:r>
      <w:r w:rsidRPr="007565E0">
        <w:t>the Code</w:t>
      </w:r>
      <w:r w:rsidRPr="009B0CE0">
        <w:t xml:space="preserve"> </w:t>
      </w:r>
      <w:r w:rsidRPr="007565E0">
        <w:t xml:space="preserve">as if </w:t>
      </w:r>
      <w:r>
        <w:t>the</w:t>
      </w:r>
      <w:r w:rsidRPr="007565E0">
        <w:t xml:space="preserve"> Variation had not commenced,</w:t>
      </w:r>
    </w:p>
    <w:p w14:paraId="5584FB25" w14:textId="77777777" w:rsidR="00F43E18" w:rsidRPr="007565E0" w:rsidRDefault="00F43E18" w:rsidP="00F43E18">
      <w:pPr>
        <w:widowControl/>
        <w:rPr>
          <w:sz w:val="20"/>
        </w:rPr>
      </w:pPr>
    </w:p>
    <w:p w14:paraId="69A3A79C" w14:textId="77777777" w:rsidR="00F43E18" w:rsidRPr="007565E0" w:rsidRDefault="00F43E18" w:rsidP="00F43E18">
      <w:pPr>
        <w:pStyle w:val="Subclause"/>
        <w:widowControl/>
      </w:pPr>
      <w:r w:rsidRPr="007565E0">
        <w:t>but not a combination of both.</w:t>
      </w:r>
    </w:p>
    <w:p w14:paraId="4661FE76" w14:textId="77777777" w:rsidR="00F43E18" w:rsidRPr="00A870AD" w:rsidRDefault="00F43E18" w:rsidP="00F43E18">
      <w:pPr>
        <w:pStyle w:val="Subclause"/>
        <w:widowControl/>
      </w:pPr>
    </w:p>
    <w:p w14:paraId="386BD932" w14:textId="77777777" w:rsidR="00F43E18" w:rsidRPr="007565E0" w:rsidRDefault="00F43E18" w:rsidP="00F43E18">
      <w:pPr>
        <w:pStyle w:val="Subclause"/>
        <w:widowControl/>
      </w:pPr>
      <w:r>
        <w:t>(2)</w:t>
      </w:r>
      <w:r>
        <w:tab/>
      </w:r>
      <w:r w:rsidRPr="007565E0">
        <w:t xml:space="preserve">For the purposes of </w:t>
      </w:r>
      <w:r>
        <w:t xml:space="preserve">this </w:t>
      </w:r>
      <w:r w:rsidRPr="007565E0">
        <w:t xml:space="preserve">clause, </w:t>
      </w:r>
      <w:r w:rsidRPr="007565E0">
        <w:rPr>
          <w:b/>
        </w:rPr>
        <w:t>transitional period</w:t>
      </w:r>
      <w:r w:rsidRPr="007565E0">
        <w:t xml:space="preserve"> means the period of time that commences on the commencement date of </w:t>
      </w:r>
      <w:r>
        <w:t>the</w:t>
      </w:r>
      <w:r w:rsidRPr="007565E0">
        <w:t xml:space="preserve"> Variation and ends on 18 January 2016.</w:t>
      </w:r>
    </w:p>
    <w:p w14:paraId="1C783553" w14:textId="77777777" w:rsidR="00F43E18" w:rsidRPr="007565E0" w:rsidRDefault="00F43E18" w:rsidP="00F43E18">
      <w:pPr>
        <w:pStyle w:val="Subclause"/>
        <w:widowControl/>
      </w:pPr>
    </w:p>
    <w:p w14:paraId="4AA262AE" w14:textId="77777777" w:rsidR="00F43E18" w:rsidRPr="007565E0" w:rsidRDefault="00F43E18" w:rsidP="00F43E18">
      <w:pPr>
        <w:pStyle w:val="Clauseheading"/>
        <w:widowControl/>
      </w:pPr>
      <w:r>
        <w:t>13</w:t>
      </w:r>
      <w:r>
        <w:tab/>
        <w:t>Stock-in-trade period</w:t>
      </w:r>
      <w:r w:rsidRPr="007565E0">
        <w:t xml:space="preserve"> (19 January 2016 </w:t>
      </w:r>
      <w:r w:rsidRPr="00FF7C9C">
        <w:t>–</w:t>
      </w:r>
      <w:r w:rsidRPr="007565E0">
        <w:t>18 January 2017)</w:t>
      </w:r>
    </w:p>
    <w:p w14:paraId="52B08986" w14:textId="77777777" w:rsidR="00F43E18" w:rsidRPr="007565E0" w:rsidRDefault="00F43E18" w:rsidP="00F43E18">
      <w:pPr>
        <w:pStyle w:val="Subclause"/>
        <w:widowControl/>
      </w:pPr>
    </w:p>
    <w:p w14:paraId="5998AB20" w14:textId="77777777" w:rsidR="00F43E18" w:rsidRPr="007565E0" w:rsidRDefault="00F43E18" w:rsidP="00F43E18">
      <w:pPr>
        <w:pStyle w:val="Subclause"/>
        <w:widowControl/>
      </w:pPr>
      <w:r>
        <w:t>(1)</w:t>
      </w:r>
      <w:r>
        <w:tab/>
      </w:r>
      <w:r w:rsidRPr="007565E0">
        <w:t>Notwithstanding clauses 1</w:t>
      </w:r>
      <w:r>
        <w:t>4</w:t>
      </w:r>
      <w:r w:rsidRPr="007565E0">
        <w:t xml:space="preserve"> to 1</w:t>
      </w:r>
      <w:r>
        <w:t>7</w:t>
      </w:r>
      <w:r w:rsidRPr="007565E0">
        <w:t xml:space="preserve">, during the </w:t>
      </w:r>
      <w:r>
        <w:t>stock-in-trade</w:t>
      </w:r>
      <w:r w:rsidRPr="007565E0">
        <w:t xml:space="preserve"> period, an electrolyte drink or electrolyte drink base may comply with either – </w:t>
      </w:r>
    </w:p>
    <w:p w14:paraId="50E9D579" w14:textId="77777777" w:rsidR="00F43E18" w:rsidRPr="007565E0" w:rsidRDefault="00F43E18" w:rsidP="00F43E18">
      <w:pPr>
        <w:pStyle w:val="Subclause"/>
        <w:widowControl/>
      </w:pPr>
    </w:p>
    <w:p w14:paraId="35AF5D8C" w14:textId="77777777" w:rsidR="00F43E18" w:rsidRPr="007565E0" w:rsidRDefault="00F43E18" w:rsidP="00F43E18">
      <w:pPr>
        <w:pStyle w:val="Paragraph"/>
        <w:widowControl/>
      </w:pPr>
      <w:r>
        <w:t>(a)</w:t>
      </w:r>
      <w:r>
        <w:tab/>
      </w:r>
      <w:r w:rsidRPr="007565E0">
        <w:t>the Code; or</w:t>
      </w:r>
    </w:p>
    <w:p w14:paraId="23A48E7D" w14:textId="77777777" w:rsidR="00F43E18" w:rsidRPr="007565E0" w:rsidRDefault="00F43E18" w:rsidP="00F43E18">
      <w:pPr>
        <w:pStyle w:val="Paragraph"/>
        <w:widowControl/>
      </w:pPr>
      <w:r>
        <w:t>(b)</w:t>
      </w:r>
      <w:r>
        <w:tab/>
      </w:r>
      <w:r w:rsidRPr="007565E0">
        <w:t>the</w:t>
      </w:r>
      <w:r>
        <w:t xml:space="preserve"> Code</w:t>
      </w:r>
      <w:r w:rsidRPr="00DF28CB">
        <w:t xml:space="preserve"> </w:t>
      </w:r>
      <w:r w:rsidRPr="007565E0">
        <w:t xml:space="preserve">as if </w:t>
      </w:r>
      <w:r>
        <w:t>the</w:t>
      </w:r>
      <w:r w:rsidRPr="007565E0">
        <w:t xml:space="preserve"> Variation had not commenced</w:t>
      </w:r>
      <w:r>
        <w:t xml:space="preserve">, provided that </w:t>
      </w:r>
      <w:r w:rsidRPr="007565E0">
        <w:t xml:space="preserve">the food product </w:t>
      </w:r>
      <w:r>
        <w:t>complied</w:t>
      </w:r>
      <w:r w:rsidRPr="007565E0">
        <w:t xml:space="preserve"> with </w:t>
      </w:r>
      <w:r>
        <w:t>that</w:t>
      </w:r>
      <w:r w:rsidRPr="007565E0">
        <w:t xml:space="preserve"> version of the Code during the transitional period,</w:t>
      </w:r>
    </w:p>
    <w:p w14:paraId="7AFB27F3" w14:textId="77777777" w:rsidR="00F43E18" w:rsidRPr="007565E0" w:rsidRDefault="00F43E18" w:rsidP="00F43E18">
      <w:pPr>
        <w:widowControl/>
        <w:rPr>
          <w:sz w:val="20"/>
        </w:rPr>
      </w:pPr>
    </w:p>
    <w:p w14:paraId="10388D9E" w14:textId="77777777" w:rsidR="00F43E18" w:rsidRPr="007565E0" w:rsidRDefault="00F43E18" w:rsidP="00F43E18">
      <w:pPr>
        <w:pStyle w:val="Subclause"/>
        <w:widowControl/>
      </w:pPr>
      <w:r w:rsidRPr="007565E0">
        <w:t>but not a combination of both.</w:t>
      </w:r>
    </w:p>
    <w:p w14:paraId="649D8F15" w14:textId="77777777" w:rsidR="00F43E18" w:rsidRPr="007565E0" w:rsidRDefault="00F43E18" w:rsidP="00F43E18">
      <w:pPr>
        <w:pStyle w:val="Subclause"/>
        <w:widowControl/>
      </w:pPr>
    </w:p>
    <w:p w14:paraId="0B870AAC" w14:textId="77777777" w:rsidR="00F43E18" w:rsidRPr="007565E0" w:rsidRDefault="00F43E18" w:rsidP="00F43E18">
      <w:pPr>
        <w:pStyle w:val="Subclause"/>
        <w:widowControl/>
      </w:pPr>
      <w:r>
        <w:t>(2)</w:t>
      </w:r>
      <w:r>
        <w:tab/>
      </w:r>
      <w:r w:rsidRPr="007565E0">
        <w:t xml:space="preserve">For the purposes of </w:t>
      </w:r>
      <w:r>
        <w:t xml:space="preserve">this </w:t>
      </w:r>
      <w:r w:rsidRPr="007565E0">
        <w:t xml:space="preserve">clause, </w:t>
      </w:r>
      <w:r>
        <w:rPr>
          <w:b/>
        </w:rPr>
        <w:t xml:space="preserve">the stock-in-trade </w:t>
      </w:r>
      <w:r w:rsidRPr="007565E0">
        <w:rPr>
          <w:b/>
        </w:rPr>
        <w:t>period</w:t>
      </w:r>
      <w:r w:rsidRPr="007565E0">
        <w:t xml:space="preserve"> means the period of time that commences on 19 January 2016 and ends on 18 January 2017.</w:t>
      </w:r>
    </w:p>
    <w:p w14:paraId="56B12D7E" w14:textId="77777777" w:rsidR="00F43E18" w:rsidRDefault="00F43E18" w:rsidP="00F43E18">
      <w:pPr>
        <w:widowControl/>
      </w:pPr>
    </w:p>
    <w:p w14:paraId="662B1FC6" w14:textId="77777777" w:rsidR="00F43E18" w:rsidRDefault="00F43E18" w:rsidP="00F43E18">
      <w:pPr>
        <w:pStyle w:val="Clauseheading"/>
        <w:widowControl/>
      </w:pPr>
      <w:r>
        <w:t>14</w:t>
      </w:r>
      <w:r>
        <w:tab/>
        <w:t>Composition of electrolyte drinks and electrolyte drink bases</w:t>
      </w:r>
    </w:p>
    <w:p w14:paraId="1F6EE971" w14:textId="77777777" w:rsidR="00F43E18" w:rsidRPr="004000C9" w:rsidRDefault="00F43E18" w:rsidP="00F43E18">
      <w:pPr>
        <w:widowControl/>
      </w:pPr>
    </w:p>
    <w:p w14:paraId="7CFE46D9" w14:textId="77777777" w:rsidR="00F43E18" w:rsidRDefault="00F43E18" w:rsidP="00F43E18">
      <w:pPr>
        <w:pStyle w:val="Subclause"/>
        <w:widowControl/>
      </w:pPr>
      <w:r>
        <w:t>(1)</w:t>
      </w:r>
      <w:r>
        <w:tab/>
        <w:t>An electrolyte drink, or an electrolyte drink base when made up</w:t>
      </w:r>
      <w:r w:rsidRPr="001D5B18">
        <w:t xml:space="preserve"> </w:t>
      </w:r>
      <w:r>
        <w:t>according to directions, must contain no less than 10 mmol/L of sodium.</w:t>
      </w:r>
    </w:p>
    <w:p w14:paraId="41F0F8E1" w14:textId="77777777" w:rsidR="00F43E18" w:rsidRDefault="00F43E18" w:rsidP="00F43E18">
      <w:pPr>
        <w:pStyle w:val="Subclause"/>
        <w:widowControl/>
      </w:pPr>
    </w:p>
    <w:p w14:paraId="5488A7EE" w14:textId="77777777" w:rsidR="00F43E18" w:rsidRDefault="00F43E18" w:rsidP="00F43E18">
      <w:pPr>
        <w:pStyle w:val="Subclause"/>
        <w:widowControl/>
      </w:pPr>
      <w:r>
        <w:t>(2)</w:t>
      </w:r>
      <w:r>
        <w:tab/>
        <w:t>An electrolyte drink, or an electrolyte drink base when made up according to directions, must contain –</w:t>
      </w:r>
    </w:p>
    <w:p w14:paraId="199F2749" w14:textId="77777777" w:rsidR="00F43E18" w:rsidRDefault="00F43E18" w:rsidP="00F43E18">
      <w:pPr>
        <w:widowControl/>
      </w:pPr>
    </w:p>
    <w:p w14:paraId="09B2DC7C" w14:textId="77777777" w:rsidR="00F43E18" w:rsidRDefault="00F43E18" w:rsidP="00F43E18">
      <w:pPr>
        <w:pStyle w:val="Paragraph"/>
        <w:widowControl/>
      </w:pPr>
      <w:r>
        <w:t>(a)</w:t>
      </w:r>
      <w:r>
        <w:tab/>
        <w:t>no less than 50 g/L and no more than 100 g/L total –</w:t>
      </w:r>
    </w:p>
    <w:p w14:paraId="2DC14708" w14:textId="77777777" w:rsidR="00F43E18" w:rsidRDefault="00F43E18" w:rsidP="00F43E18">
      <w:pPr>
        <w:widowControl/>
      </w:pPr>
    </w:p>
    <w:p w14:paraId="6ACECA68" w14:textId="77777777" w:rsidR="00F43E18" w:rsidRDefault="00F43E18" w:rsidP="00F43E18">
      <w:pPr>
        <w:pStyle w:val="Subparagraph"/>
        <w:widowControl/>
      </w:pPr>
      <w:r>
        <w:t>(i)</w:t>
      </w:r>
      <w:r>
        <w:tab/>
        <w:t>dextrose; and</w:t>
      </w:r>
    </w:p>
    <w:p w14:paraId="1A37E315" w14:textId="77777777" w:rsidR="00F43E18" w:rsidRDefault="00F43E18" w:rsidP="00F43E18">
      <w:pPr>
        <w:pStyle w:val="Subparagraph"/>
        <w:widowControl/>
      </w:pPr>
      <w:r>
        <w:t>(ii)</w:t>
      </w:r>
      <w:r>
        <w:tab/>
        <w:t>fructose; and</w:t>
      </w:r>
    </w:p>
    <w:p w14:paraId="6D0F544C" w14:textId="77777777" w:rsidR="00F43E18" w:rsidRDefault="00F43E18" w:rsidP="00F43E18">
      <w:pPr>
        <w:pStyle w:val="Subparagraph"/>
        <w:widowControl/>
      </w:pPr>
      <w:r>
        <w:t>(iii)</w:t>
      </w:r>
      <w:r>
        <w:tab/>
        <w:t>glucose syrup; and</w:t>
      </w:r>
    </w:p>
    <w:p w14:paraId="0021E63E" w14:textId="77777777" w:rsidR="00F43E18" w:rsidRDefault="00F43E18" w:rsidP="00F43E18">
      <w:pPr>
        <w:pStyle w:val="Subparagraph"/>
        <w:widowControl/>
      </w:pPr>
      <w:r>
        <w:t>(iv)</w:t>
      </w:r>
      <w:r>
        <w:tab/>
        <w:t>maltodextrin; and</w:t>
      </w:r>
    </w:p>
    <w:p w14:paraId="2F8A8B1A" w14:textId="77777777" w:rsidR="00F43E18" w:rsidRDefault="00F43E18" w:rsidP="00F43E18">
      <w:pPr>
        <w:pStyle w:val="Subparagraph"/>
        <w:widowControl/>
      </w:pPr>
      <w:r>
        <w:t>(v)</w:t>
      </w:r>
      <w:r>
        <w:tab/>
        <w:t>sucrose; and</w:t>
      </w:r>
    </w:p>
    <w:p w14:paraId="71072F39" w14:textId="77777777" w:rsidR="00F43E18" w:rsidRDefault="00F43E18" w:rsidP="00F43E18">
      <w:pPr>
        <w:widowControl/>
      </w:pPr>
    </w:p>
    <w:p w14:paraId="3BAB9093" w14:textId="22FCF866" w:rsidR="00F43E18" w:rsidRDefault="00F43E18" w:rsidP="00F43E18">
      <w:pPr>
        <w:pStyle w:val="Paragraph"/>
        <w:widowControl/>
      </w:pPr>
      <w:r>
        <w:t>(b)</w:t>
      </w:r>
      <w:r>
        <w:tab/>
        <w:t>no more than 50 g/L fructose.</w:t>
      </w:r>
    </w:p>
    <w:p w14:paraId="5DD2234A" w14:textId="77777777" w:rsidR="00F43E18" w:rsidRPr="00F43E18" w:rsidRDefault="00F43E18" w:rsidP="00F43E18"/>
    <w:p w14:paraId="140CCD27" w14:textId="48762BB9" w:rsidR="00F43E18" w:rsidRDefault="00F43E18" w:rsidP="00F43E18">
      <w:pPr>
        <w:widowControl/>
      </w:pPr>
      <w:r>
        <w:lastRenderedPageBreak/>
        <w:t>(3)</w:t>
      </w:r>
      <w:r>
        <w:tab/>
        <w:t>An electrolyte drink, or an electrolyte drink base when made up</w:t>
      </w:r>
      <w:r w:rsidRPr="001D5B18">
        <w:t xml:space="preserve"> </w:t>
      </w:r>
      <w:r>
        <w:t>according to directions, may contain –</w:t>
      </w:r>
    </w:p>
    <w:p w14:paraId="4A26FEF3" w14:textId="77777777" w:rsidR="00F43E18" w:rsidRDefault="00F43E18" w:rsidP="00F43E18">
      <w:pPr>
        <w:widowControl/>
      </w:pPr>
    </w:p>
    <w:p w14:paraId="550F8971" w14:textId="77777777" w:rsidR="00F43E18" w:rsidRDefault="00F43E18" w:rsidP="00F43E18">
      <w:pPr>
        <w:pStyle w:val="Paragraph"/>
        <w:widowControl/>
      </w:pPr>
      <w:r>
        <w:t>(a)</w:t>
      </w:r>
      <w:r>
        <w:tab/>
        <w:t>calcium phosphates; and</w:t>
      </w:r>
    </w:p>
    <w:p w14:paraId="501893BC" w14:textId="77777777" w:rsidR="00F43E18" w:rsidRDefault="00F43E18" w:rsidP="00F43E18">
      <w:pPr>
        <w:pStyle w:val="Paragraph"/>
        <w:widowControl/>
      </w:pPr>
      <w:r>
        <w:t>(b)</w:t>
      </w:r>
      <w:r>
        <w:tab/>
        <w:t>potassium phosphates; and</w:t>
      </w:r>
    </w:p>
    <w:p w14:paraId="59E86B69" w14:textId="77777777" w:rsidR="00F43E18" w:rsidRDefault="00F43E18" w:rsidP="00F43E18">
      <w:pPr>
        <w:pStyle w:val="Paragraph"/>
        <w:widowControl/>
      </w:pPr>
      <w:r>
        <w:t>(c)</w:t>
      </w:r>
      <w:r>
        <w:tab/>
        <w:t>calcium citrates; and</w:t>
      </w:r>
    </w:p>
    <w:p w14:paraId="446D8C5C" w14:textId="77777777" w:rsidR="00F43E18" w:rsidRDefault="00F43E18" w:rsidP="00F43E18">
      <w:pPr>
        <w:pStyle w:val="Paragraph"/>
        <w:widowControl/>
      </w:pPr>
      <w:r>
        <w:t>(d)</w:t>
      </w:r>
      <w:r>
        <w:tab/>
        <w:t>potassium citrates; and</w:t>
      </w:r>
    </w:p>
    <w:p w14:paraId="39AE90DF" w14:textId="77777777" w:rsidR="00F43E18" w:rsidRDefault="00F43E18" w:rsidP="00F43E18">
      <w:pPr>
        <w:pStyle w:val="Paragraph"/>
        <w:widowControl/>
      </w:pPr>
      <w:r>
        <w:t>(e)</w:t>
      </w:r>
      <w:r>
        <w:tab/>
        <w:t>sodium citrates; and</w:t>
      </w:r>
    </w:p>
    <w:p w14:paraId="78F8809E" w14:textId="77777777" w:rsidR="00F43E18" w:rsidRDefault="00F43E18" w:rsidP="00F43E18">
      <w:pPr>
        <w:pStyle w:val="Paragraph"/>
        <w:widowControl/>
      </w:pPr>
      <w:r>
        <w:t>(f)</w:t>
      </w:r>
      <w:r>
        <w:tab/>
        <w:t>potassium carbonates, including potassium bicarbonate; and</w:t>
      </w:r>
    </w:p>
    <w:p w14:paraId="706B23C8" w14:textId="77777777" w:rsidR="00F43E18" w:rsidRDefault="00F43E18" w:rsidP="00F43E18">
      <w:pPr>
        <w:pStyle w:val="Paragraph"/>
        <w:widowControl/>
      </w:pPr>
      <w:r>
        <w:t>(g)</w:t>
      </w:r>
      <w:r>
        <w:tab/>
        <w:t>potassium chloride; and</w:t>
      </w:r>
    </w:p>
    <w:p w14:paraId="5948AF8F" w14:textId="77777777" w:rsidR="00F43E18" w:rsidRDefault="00F43E18" w:rsidP="00F43E18">
      <w:pPr>
        <w:pStyle w:val="Paragraph"/>
        <w:widowControl/>
      </w:pPr>
      <w:r>
        <w:t>(h)</w:t>
      </w:r>
      <w:r>
        <w:tab/>
        <w:t>calcium chloride; and</w:t>
      </w:r>
    </w:p>
    <w:p w14:paraId="5483DD2F" w14:textId="77777777" w:rsidR="00F43E18" w:rsidRDefault="00F43E18" w:rsidP="00F43E18">
      <w:pPr>
        <w:pStyle w:val="Paragraph"/>
        <w:widowControl/>
      </w:pPr>
      <w:r>
        <w:t>(i)</w:t>
      </w:r>
      <w:r>
        <w:tab/>
        <w:t>sodium chloride; and</w:t>
      </w:r>
    </w:p>
    <w:p w14:paraId="61C944EA" w14:textId="77777777" w:rsidR="00F43E18" w:rsidRDefault="00F43E18" w:rsidP="00F43E18">
      <w:pPr>
        <w:pStyle w:val="Paragraph"/>
        <w:widowControl/>
      </w:pPr>
      <w:r>
        <w:t>(j)</w:t>
      </w:r>
      <w:r>
        <w:tab/>
        <w:t>calcium lactate; and</w:t>
      </w:r>
    </w:p>
    <w:p w14:paraId="0165B3FB" w14:textId="77777777" w:rsidR="00F43E18" w:rsidRDefault="00F43E18" w:rsidP="00F43E18">
      <w:pPr>
        <w:pStyle w:val="Paragraph"/>
        <w:widowControl/>
      </w:pPr>
      <w:r>
        <w:t>(k)</w:t>
      </w:r>
      <w:r>
        <w:tab/>
        <w:t>magnesium lactate; and</w:t>
      </w:r>
    </w:p>
    <w:p w14:paraId="35B65809" w14:textId="77777777" w:rsidR="00F43E18" w:rsidRPr="009F24E0" w:rsidRDefault="00F43E18" w:rsidP="00F43E18">
      <w:pPr>
        <w:pStyle w:val="Paragraph"/>
        <w:widowControl/>
      </w:pPr>
      <w:r w:rsidRPr="009F24E0">
        <w:t>(l)</w:t>
      </w:r>
      <w:r w:rsidRPr="009F24E0">
        <w:tab/>
        <w:t>magnesium sulphate.</w:t>
      </w:r>
    </w:p>
    <w:p w14:paraId="2F5C1F6C" w14:textId="77777777" w:rsidR="00F43E18" w:rsidRDefault="00F43E18" w:rsidP="00F43E18">
      <w:pPr>
        <w:widowControl/>
      </w:pPr>
    </w:p>
    <w:p w14:paraId="7C2E427B" w14:textId="77777777" w:rsidR="00F43E18" w:rsidRDefault="00F43E18" w:rsidP="00F43E18">
      <w:pPr>
        <w:pStyle w:val="Clauseheading"/>
        <w:widowControl/>
      </w:pPr>
      <w:r>
        <w:t>15</w:t>
      </w:r>
      <w:r>
        <w:tab/>
        <w:t>Labelling of electrolyte drinks and electrolyte drink bases</w:t>
      </w:r>
    </w:p>
    <w:p w14:paraId="15B95721" w14:textId="77777777" w:rsidR="00F43E18" w:rsidRDefault="00F43E18" w:rsidP="00F43E18">
      <w:pPr>
        <w:widowControl/>
      </w:pPr>
    </w:p>
    <w:p w14:paraId="02505CF1" w14:textId="77777777" w:rsidR="00F43E18" w:rsidRDefault="00F43E18" w:rsidP="00F43E18">
      <w:pPr>
        <w:pStyle w:val="Subclause"/>
        <w:widowControl/>
      </w:pPr>
      <w:r>
        <w:t>(1)</w:t>
      </w:r>
      <w:r>
        <w:tab/>
        <w:t>The label on a package of electrolyte drink or electrolyte drink base must include a nutrition information panel.</w:t>
      </w:r>
    </w:p>
    <w:p w14:paraId="600A35C2" w14:textId="77777777" w:rsidR="00F43E18" w:rsidRPr="00710849" w:rsidRDefault="00F43E18" w:rsidP="00F43E18">
      <w:pPr>
        <w:widowControl/>
      </w:pPr>
    </w:p>
    <w:p w14:paraId="02BD33C4" w14:textId="77777777" w:rsidR="00F43E18" w:rsidRDefault="00F43E18" w:rsidP="00F43E18">
      <w:pPr>
        <w:pStyle w:val="Subclause"/>
        <w:widowControl/>
      </w:pPr>
      <w:r>
        <w:t>(2)</w:t>
      </w:r>
      <w:r>
        <w:tab/>
        <w:t>The nutrition information panel</w:t>
      </w:r>
      <w:r>
        <w:rPr>
          <w:b/>
        </w:rPr>
        <w:t xml:space="preserve"> </w:t>
      </w:r>
      <w:r>
        <w:t>referred to in subclause (1) must include a declaration of the average quantity per serving and per unit quantity, as ready to drink, of –</w:t>
      </w:r>
    </w:p>
    <w:p w14:paraId="2F7799FB" w14:textId="77777777" w:rsidR="00F43E18" w:rsidRDefault="00F43E18" w:rsidP="00F43E18">
      <w:pPr>
        <w:widowControl/>
      </w:pPr>
    </w:p>
    <w:p w14:paraId="1A5AF95F" w14:textId="77777777" w:rsidR="00F43E18" w:rsidRDefault="00F43E18" w:rsidP="00F43E18">
      <w:pPr>
        <w:pStyle w:val="Paragraph"/>
        <w:widowControl/>
      </w:pPr>
      <w:r>
        <w:t>(a)</w:t>
      </w:r>
      <w:r>
        <w:tab/>
        <w:t>each type of monosaccharide and disaccharide present; and</w:t>
      </w:r>
    </w:p>
    <w:p w14:paraId="2F1D6B0F" w14:textId="77777777" w:rsidR="00F43E18" w:rsidRDefault="00F43E18" w:rsidP="00F43E18">
      <w:pPr>
        <w:pStyle w:val="Paragraph"/>
        <w:widowControl/>
      </w:pPr>
      <w:r>
        <w:t>(b)</w:t>
      </w:r>
      <w:r>
        <w:tab/>
        <w:t>milligrams and millimoles of the added minerals and electrolytes.</w:t>
      </w:r>
    </w:p>
    <w:p w14:paraId="16A0E51C" w14:textId="77777777" w:rsidR="00F43E18" w:rsidRDefault="00F43E18" w:rsidP="00F43E18">
      <w:pPr>
        <w:widowControl/>
      </w:pPr>
    </w:p>
    <w:p w14:paraId="358221AA" w14:textId="77777777" w:rsidR="00F43E18" w:rsidRDefault="00F43E18" w:rsidP="00F43E18">
      <w:pPr>
        <w:pStyle w:val="Subclause"/>
        <w:widowControl/>
      </w:pPr>
      <w:r>
        <w:t>(3)</w:t>
      </w:r>
      <w:r>
        <w:tab/>
        <w:t>The information prescribed in subclause (2) must be provided in accordance with clause 4 of Standard 1.2.8 if –</w:t>
      </w:r>
    </w:p>
    <w:p w14:paraId="5C523CF7" w14:textId="77777777" w:rsidR="00F43E18" w:rsidRDefault="00F43E18" w:rsidP="00F43E18">
      <w:pPr>
        <w:pStyle w:val="Clause"/>
        <w:widowControl/>
      </w:pPr>
    </w:p>
    <w:p w14:paraId="59F9B123" w14:textId="77777777" w:rsidR="00F43E18" w:rsidRDefault="00F43E18" w:rsidP="00F43E18">
      <w:pPr>
        <w:pStyle w:val="Paragraph"/>
        <w:widowControl/>
      </w:pPr>
      <w:r>
        <w:t>(a)</w:t>
      </w:r>
      <w:r>
        <w:tab/>
      </w:r>
      <w:r w:rsidRPr="00700F8C">
        <w:t xml:space="preserve">a claim requiring nutrition information is made </w:t>
      </w:r>
      <w:r>
        <w:t>about an electrolyte drink or electrolyte drink base; and</w:t>
      </w:r>
    </w:p>
    <w:p w14:paraId="5B0D6AA6" w14:textId="77777777" w:rsidR="00F43E18" w:rsidRDefault="00F43E18" w:rsidP="00F43E18">
      <w:pPr>
        <w:pStyle w:val="Paragraph"/>
        <w:widowControl/>
      </w:pPr>
      <w:r>
        <w:t>(b)</w:t>
      </w:r>
      <w:r>
        <w:tab/>
        <w:t xml:space="preserve">the electrolyte drink or electrolyte drink base is not required to bear a label pursuant to clause 2 of Standard 1.2.1.  </w:t>
      </w:r>
    </w:p>
    <w:p w14:paraId="2CC14177" w14:textId="77777777" w:rsidR="00F43E18" w:rsidRDefault="00F43E18" w:rsidP="00F43E18">
      <w:pPr>
        <w:widowControl/>
      </w:pPr>
    </w:p>
    <w:p w14:paraId="0CF93FEF" w14:textId="77777777" w:rsidR="00F43E18" w:rsidRDefault="00F43E18" w:rsidP="00F43E18">
      <w:pPr>
        <w:pStyle w:val="Subclause"/>
        <w:widowControl/>
      </w:pPr>
      <w:r>
        <w:t>(4)</w:t>
      </w:r>
      <w:r>
        <w:tab/>
      </w:r>
      <w:r w:rsidRPr="00211455">
        <w:t>Electrolyte drink is a prescribed name for electrolyte drinks and electrolyte drink bases.</w:t>
      </w:r>
    </w:p>
    <w:p w14:paraId="51167529" w14:textId="77777777" w:rsidR="00F43E18" w:rsidRDefault="00F43E18" w:rsidP="00F43E18">
      <w:pPr>
        <w:widowControl/>
      </w:pPr>
    </w:p>
    <w:p w14:paraId="65998EB8" w14:textId="77777777" w:rsidR="00F43E18" w:rsidRDefault="00F43E18" w:rsidP="00F43E18">
      <w:pPr>
        <w:pStyle w:val="Subclause"/>
        <w:widowControl/>
      </w:pPr>
      <w:r>
        <w:t>(5)</w:t>
      </w:r>
      <w:r>
        <w:tab/>
        <w:t xml:space="preserve">For the purposes of this clause, </w:t>
      </w:r>
      <w:r>
        <w:rPr>
          <w:b/>
        </w:rPr>
        <w:t>unit quantity</w:t>
      </w:r>
      <w:r>
        <w:t xml:space="preserve"> has the meaning given by Standard 1.2.8.</w:t>
      </w:r>
    </w:p>
    <w:p w14:paraId="4F05071A" w14:textId="77777777" w:rsidR="00F43E18" w:rsidRDefault="00F43E18" w:rsidP="00F43E18">
      <w:pPr>
        <w:widowControl/>
      </w:pPr>
    </w:p>
    <w:p w14:paraId="0EEE5D9F" w14:textId="77777777" w:rsidR="00F43E18" w:rsidRDefault="00F43E18" w:rsidP="00F43E18">
      <w:pPr>
        <w:pStyle w:val="Subclause"/>
        <w:widowControl/>
      </w:pPr>
      <w:r>
        <w:t>(6)</w:t>
      </w:r>
      <w:r>
        <w:tab/>
        <w:t xml:space="preserve">For the purposes of this clause, </w:t>
      </w:r>
      <w:r w:rsidRPr="0038153C">
        <w:rPr>
          <w:b/>
        </w:rPr>
        <w:t>a</w:t>
      </w:r>
      <w:r w:rsidRPr="007C7925">
        <w:rPr>
          <w:b/>
        </w:rPr>
        <w:t xml:space="preserve"> claim requiring nutrition information</w:t>
      </w:r>
      <w:r>
        <w:t xml:space="preserve"> has the meaning given by Standard 1.2.8.</w:t>
      </w:r>
    </w:p>
    <w:p w14:paraId="698A42D3" w14:textId="77777777" w:rsidR="00F43E18" w:rsidRDefault="00F43E18" w:rsidP="00F43E18">
      <w:pPr>
        <w:pStyle w:val="Clauseheading"/>
        <w:widowControl/>
      </w:pPr>
    </w:p>
    <w:p w14:paraId="78327CFA" w14:textId="77777777" w:rsidR="00F43E18" w:rsidRDefault="00F43E18" w:rsidP="00F43E18">
      <w:pPr>
        <w:pStyle w:val="Clauseheading"/>
        <w:widowControl/>
      </w:pPr>
      <w:r>
        <w:t>16</w:t>
      </w:r>
      <w:r>
        <w:tab/>
        <w:t>H</w:t>
      </w:r>
      <w:r w:rsidRPr="000C3610">
        <w:t>ealth claims</w:t>
      </w:r>
      <w:r>
        <w:t xml:space="preserve"> about e</w:t>
      </w:r>
      <w:r w:rsidRPr="000C3610">
        <w:t>lectrolyte drinks and electrolyte drink bases</w:t>
      </w:r>
      <w:r>
        <w:tab/>
      </w:r>
    </w:p>
    <w:p w14:paraId="43F18B57" w14:textId="77777777" w:rsidR="00F43E18" w:rsidRDefault="00F43E18" w:rsidP="00F43E18">
      <w:pPr>
        <w:pStyle w:val="Clause"/>
        <w:widowControl/>
      </w:pPr>
    </w:p>
    <w:p w14:paraId="247B60A6" w14:textId="77777777" w:rsidR="00F43E18" w:rsidRDefault="00F43E18" w:rsidP="00F43E18">
      <w:pPr>
        <w:pStyle w:val="Clause"/>
        <w:widowControl/>
      </w:pPr>
      <w:r>
        <w:t>A health claim made about an electrolyte drink or an electrolyte drink base must –</w:t>
      </w:r>
    </w:p>
    <w:p w14:paraId="2C378431" w14:textId="77777777" w:rsidR="00F43E18" w:rsidRPr="00A870AD" w:rsidRDefault="00F43E18" w:rsidP="00F43E18">
      <w:pPr>
        <w:pStyle w:val="Subclause"/>
        <w:widowControl/>
      </w:pPr>
    </w:p>
    <w:p w14:paraId="68D71501" w14:textId="77777777" w:rsidR="00F43E18" w:rsidRDefault="00F43E18" w:rsidP="00F43E18">
      <w:pPr>
        <w:pStyle w:val="Paragraph"/>
        <w:widowControl/>
      </w:pPr>
      <w:r>
        <w:t>(a)</w:t>
      </w:r>
      <w:r>
        <w:tab/>
        <w:t>be made in accordance with Standard 1.2.7; and</w:t>
      </w:r>
    </w:p>
    <w:p w14:paraId="1E4DB2F6" w14:textId="77777777" w:rsidR="00F43E18" w:rsidRPr="0041578D" w:rsidRDefault="00F43E18" w:rsidP="00F43E18">
      <w:pPr>
        <w:pStyle w:val="Paragraph"/>
        <w:widowControl/>
        <w:rPr>
          <w:highlight w:val="yellow"/>
        </w:rPr>
      </w:pPr>
      <w:r>
        <w:t>(b)</w:t>
      </w:r>
      <w:r>
        <w:tab/>
      </w:r>
      <w:r w:rsidRPr="007565E0">
        <w:t xml:space="preserve">relate only </w:t>
      </w:r>
      <w:r>
        <w:t>to the rapid replacement of fluid, carbohydrates and electrolytes lost as a result of sustained strenuous physical activity</w:t>
      </w:r>
      <w:r w:rsidRPr="007565E0">
        <w:t>.</w:t>
      </w:r>
    </w:p>
    <w:p w14:paraId="25D75AEA" w14:textId="77777777" w:rsidR="00F43E18" w:rsidRDefault="00F43E18" w:rsidP="00F43E18">
      <w:pPr>
        <w:pStyle w:val="Clause"/>
        <w:widowControl/>
      </w:pPr>
    </w:p>
    <w:p w14:paraId="51C78ACA" w14:textId="77777777" w:rsidR="00F43E18" w:rsidRDefault="00F43E18" w:rsidP="00F43E18">
      <w:pPr>
        <w:pStyle w:val="Clauseheading"/>
        <w:widowControl/>
      </w:pPr>
      <w:r>
        <w:t>17</w:t>
      </w:r>
      <w:r>
        <w:tab/>
        <w:t>Claims in relation to the tonicity of electrolyte drinks</w:t>
      </w:r>
    </w:p>
    <w:p w14:paraId="6F2441AB" w14:textId="77777777" w:rsidR="00F43E18" w:rsidRDefault="00F43E18" w:rsidP="00F43E18">
      <w:pPr>
        <w:widowControl/>
      </w:pPr>
    </w:p>
    <w:p w14:paraId="5CF8389A" w14:textId="77777777" w:rsidR="00F43E18" w:rsidRPr="00BB4143" w:rsidRDefault="00F43E18" w:rsidP="00F43E18">
      <w:pPr>
        <w:pStyle w:val="Subclause"/>
        <w:widowControl/>
      </w:pPr>
      <w:r w:rsidRPr="00BB4143">
        <w:t>(1)</w:t>
      </w:r>
      <w:r w:rsidRPr="00BB4143">
        <w:tab/>
        <w:t>A claim that an electrolyte drink is isotonic may only be made if the electrolyte drink has an average osmolality of 250</w:t>
      </w:r>
      <w:r>
        <w:t>–</w:t>
      </w:r>
      <w:r w:rsidRPr="00BB4143">
        <w:t>340 milliOsmol/L.</w:t>
      </w:r>
    </w:p>
    <w:p w14:paraId="39A052F9" w14:textId="77777777" w:rsidR="00F43E18" w:rsidRPr="00BB4143" w:rsidRDefault="00F43E18" w:rsidP="00F43E18">
      <w:pPr>
        <w:pStyle w:val="Subclause"/>
        <w:widowControl/>
      </w:pPr>
    </w:p>
    <w:p w14:paraId="569BEAEE" w14:textId="77777777" w:rsidR="00F43E18" w:rsidRPr="00BB4143" w:rsidRDefault="00F43E18" w:rsidP="00F43E18">
      <w:pPr>
        <w:pStyle w:val="Subclause"/>
        <w:widowControl/>
      </w:pPr>
      <w:r w:rsidRPr="00BB4143">
        <w:lastRenderedPageBreak/>
        <w:t>(2)</w:t>
      </w:r>
      <w:r w:rsidRPr="00BB4143">
        <w:tab/>
        <w:t>Where a claim is made that an electrolyte drink is isotonic, hypertonic or hypotonic, the osmolality of the electrolyte drink as measured in milliOsmol/L must be declared on the label of the package.</w:t>
      </w:r>
    </w:p>
    <w:p w14:paraId="61F5C436" w14:textId="66D96946" w:rsidR="00F43E18" w:rsidRPr="00BB4143" w:rsidRDefault="00F43E18" w:rsidP="00F43E18">
      <w:pPr>
        <w:pStyle w:val="Subclause"/>
        <w:widowControl/>
      </w:pPr>
      <w:r>
        <w:t>(3)</w:t>
      </w:r>
      <w:r>
        <w:tab/>
      </w:r>
      <w:r w:rsidRPr="00BB4143">
        <w:t xml:space="preserve">The label on a package of isotonic electrolyte drink may include words to the effect that the product is designed to promote the availability of energy and to prevent or treat mild dehydration that may occur as a result of sustained strenuous exercise.” </w:t>
      </w:r>
    </w:p>
    <w:p w14:paraId="2C7537BD" w14:textId="77777777" w:rsidR="00F43E18" w:rsidRPr="00EC184B" w:rsidRDefault="00F43E18" w:rsidP="00F43E18">
      <w:pPr>
        <w:pStyle w:val="Subclause"/>
      </w:pPr>
    </w:p>
    <w:p w14:paraId="27E82B9F" w14:textId="77777777" w:rsidR="00F43E18" w:rsidRDefault="00F43E18" w:rsidP="00F43E18">
      <w:pPr>
        <w:pStyle w:val="Subclause"/>
        <w:widowControl/>
        <w:rPr>
          <w:iCs/>
        </w:rPr>
      </w:pPr>
      <w:r>
        <w:t>[4.9]</w:t>
      </w:r>
      <w:r>
        <w:tab/>
      </w:r>
      <w:r w:rsidRPr="00654331">
        <w:t>updating the Table of Provisions</w:t>
      </w:r>
      <w:r w:rsidRPr="00654331">
        <w:rPr>
          <w:iCs/>
        </w:rPr>
        <w:t xml:space="preserve"> to reflect these variations</w:t>
      </w:r>
    </w:p>
    <w:p w14:paraId="3A6E6D05" w14:textId="33035A8E" w:rsidR="001077BB" w:rsidRPr="004E0CFB" w:rsidRDefault="001077BB" w:rsidP="00F43E18">
      <w:pPr>
        <w:pStyle w:val="Subclause"/>
        <w:widowControl/>
        <w:rPr>
          <w:rFonts w:cs="Arial"/>
          <w:b/>
          <w:sz w:val="28"/>
          <w:szCs w:val="22"/>
          <w:lang w:bidi="ar-SA"/>
        </w:rPr>
      </w:pPr>
      <w:r w:rsidRPr="004E0CFB">
        <w:br w:type="page"/>
      </w:r>
    </w:p>
    <w:p w14:paraId="19563688" w14:textId="6CA5940B" w:rsidR="00AF06FC" w:rsidRPr="004E0CFB" w:rsidRDefault="00AF06FC" w:rsidP="00303F27">
      <w:pPr>
        <w:pStyle w:val="Heading2"/>
      </w:pPr>
      <w:bookmarkStart w:id="357" w:name="_Toc60825034"/>
      <w:bookmarkStart w:id="358" w:name="_Toc61442335"/>
      <w:bookmarkStart w:id="359" w:name="_Toc61449879"/>
      <w:bookmarkStart w:id="360" w:name="_Toc63342523"/>
      <w:bookmarkStart w:id="361" w:name="_Toc71711660"/>
      <w:bookmarkStart w:id="362" w:name="_Toc72673594"/>
      <w:r w:rsidRPr="004E0CFB">
        <w:lastRenderedPageBreak/>
        <w:t xml:space="preserve">Attachment </w:t>
      </w:r>
      <w:r w:rsidR="00EB0C7C" w:rsidRPr="004E0CFB">
        <w:t>D</w:t>
      </w:r>
      <w:r w:rsidRPr="004E0CFB">
        <w:t xml:space="preserve"> – Draft Explanatory Statement</w:t>
      </w:r>
      <w:bookmarkEnd w:id="356"/>
      <w:r w:rsidR="00EB0C7C" w:rsidRPr="004E0CFB">
        <w:t xml:space="preserve"> at call for submissions</w:t>
      </w:r>
      <w:bookmarkEnd w:id="357"/>
      <w:bookmarkEnd w:id="358"/>
      <w:bookmarkEnd w:id="359"/>
      <w:bookmarkEnd w:id="360"/>
      <w:bookmarkEnd w:id="361"/>
      <w:bookmarkEnd w:id="362"/>
    </w:p>
    <w:p w14:paraId="19563689" w14:textId="77777777" w:rsidR="007601F6" w:rsidRPr="004E0CFB" w:rsidRDefault="007601F6" w:rsidP="00424BD1">
      <w:pPr>
        <w:widowControl/>
        <w:spacing w:before="120" w:after="120"/>
        <w:rPr>
          <w:b/>
          <w:lang w:val="en-AU" w:eastAsia="en-GB" w:bidi="ar-SA"/>
        </w:rPr>
      </w:pPr>
      <w:r w:rsidRPr="004E0CFB">
        <w:rPr>
          <w:b/>
          <w:lang w:val="en-AU" w:eastAsia="en-GB" w:bidi="ar-SA"/>
        </w:rPr>
        <w:t>Authority</w:t>
      </w:r>
    </w:p>
    <w:p w14:paraId="1956368B" w14:textId="77777777" w:rsidR="007601F6" w:rsidRPr="004E0CFB" w:rsidRDefault="007601F6" w:rsidP="00424BD1">
      <w:pPr>
        <w:widowControl/>
        <w:autoSpaceDE w:val="0"/>
        <w:autoSpaceDN w:val="0"/>
        <w:adjustRightInd w:val="0"/>
        <w:spacing w:before="120" w:after="120"/>
        <w:rPr>
          <w:rFonts w:eastAsia="Calibri" w:cs="Arial"/>
          <w:szCs w:val="22"/>
          <w:lang w:val="en-AU" w:bidi="ar-SA"/>
        </w:rPr>
      </w:pPr>
      <w:r w:rsidRPr="004E0CFB">
        <w:rPr>
          <w:rFonts w:eastAsia="Calibri" w:cs="Arial"/>
          <w:szCs w:val="22"/>
          <w:lang w:val="en-AU" w:bidi="ar-SA"/>
        </w:rPr>
        <w:t xml:space="preserve">Section 13 of the </w:t>
      </w:r>
      <w:r w:rsidRPr="004E0CFB">
        <w:rPr>
          <w:rFonts w:eastAsia="Calibri" w:cs="Arial"/>
          <w:i/>
          <w:szCs w:val="22"/>
          <w:lang w:val="en-AU" w:bidi="ar-SA"/>
        </w:rPr>
        <w:t>Food Standards Australia New Zealand Act 1991</w:t>
      </w:r>
      <w:r w:rsidRPr="004E0CFB">
        <w:rPr>
          <w:rFonts w:eastAsia="Calibri" w:cs="Arial"/>
          <w:szCs w:val="22"/>
          <w:lang w:val="en-AU" w:bidi="ar-SA"/>
        </w:rPr>
        <w:t xml:space="preserve"> (the FSANZ Act) provides that the functions of Food Standards Australia New Zealand (the Authority) include the development of standards and variations of standards for inclusion in the </w:t>
      </w:r>
      <w:r w:rsidRPr="004E0CFB">
        <w:rPr>
          <w:rFonts w:eastAsia="Calibri" w:cs="Arial"/>
          <w:i/>
          <w:szCs w:val="22"/>
          <w:lang w:val="en-AU" w:bidi="ar-SA"/>
        </w:rPr>
        <w:t>Australia New Zealand Food Standards Code</w:t>
      </w:r>
      <w:r w:rsidRPr="004E0CFB">
        <w:rPr>
          <w:rFonts w:eastAsia="Calibri" w:cs="Arial"/>
          <w:szCs w:val="22"/>
          <w:lang w:val="en-AU" w:bidi="ar-SA"/>
        </w:rPr>
        <w:t xml:space="preserve"> (the Code).</w:t>
      </w:r>
    </w:p>
    <w:p w14:paraId="1956368D" w14:textId="2451B99F" w:rsidR="007601F6" w:rsidRPr="004E0CFB" w:rsidRDefault="007601F6" w:rsidP="00424BD1">
      <w:pPr>
        <w:widowControl/>
        <w:autoSpaceDE w:val="0"/>
        <w:autoSpaceDN w:val="0"/>
        <w:adjustRightInd w:val="0"/>
        <w:spacing w:before="120" w:after="120"/>
        <w:rPr>
          <w:rFonts w:eastAsia="Calibri" w:cs="Arial"/>
          <w:szCs w:val="22"/>
          <w:lang w:val="en-AU" w:bidi="ar-SA"/>
        </w:rPr>
      </w:pPr>
      <w:r w:rsidRPr="004E0CFB">
        <w:rPr>
          <w:rFonts w:eastAsia="Calibri" w:cs="Arial"/>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1956368F" w14:textId="77777777" w:rsidR="007601F6" w:rsidRPr="004E0CFB" w:rsidRDefault="007601F6" w:rsidP="00424BD1">
      <w:pPr>
        <w:widowControl/>
        <w:autoSpaceDE w:val="0"/>
        <w:autoSpaceDN w:val="0"/>
        <w:adjustRightInd w:val="0"/>
        <w:spacing w:before="120" w:after="120"/>
        <w:rPr>
          <w:rFonts w:eastAsia="Calibri" w:cs="Arial"/>
          <w:szCs w:val="22"/>
          <w:lang w:val="en-AU" w:bidi="ar-SA"/>
        </w:rPr>
      </w:pPr>
      <w:r w:rsidRPr="004E0CFB">
        <w:rPr>
          <w:rFonts w:eastAsia="Calibri" w:cs="Arial"/>
          <w:szCs w:val="22"/>
          <w:lang w:val="en-AU" w:bidi="ar-SA"/>
        </w:rPr>
        <w:t xml:space="preserve">FSANZ prepared Proposal P1030 to permit </w:t>
      </w:r>
      <w:r w:rsidR="00F10DE8" w:rsidRPr="004E0CFB">
        <w:rPr>
          <w:rFonts w:eastAsia="Calibri" w:cs="Arial"/>
          <w:szCs w:val="22"/>
          <w:lang w:val="en-AU" w:bidi="ar-SA"/>
        </w:rPr>
        <w:t xml:space="preserve">formulated supplementary sports foods and </w:t>
      </w:r>
      <w:r w:rsidRPr="004E0CFB">
        <w:rPr>
          <w:rFonts w:eastAsia="Calibri" w:cs="Arial"/>
          <w:szCs w:val="22"/>
          <w:lang w:val="en-AU" w:bidi="ar-SA"/>
        </w:rPr>
        <w:t xml:space="preserve">electrolyte drinks, electrolyte drink bases to </w:t>
      </w:r>
      <w:r w:rsidR="00FD185E" w:rsidRPr="004E0CFB">
        <w:rPr>
          <w:rFonts w:eastAsia="Calibri" w:cs="Arial"/>
          <w:szCs w:val="22"/>
          <w:lang w:val="en-AU" w:bidi="ar-SA"/>
        </w:rPr>
        <w:t xml:space="preserve">carry </w:t>
      </w:r>
      <w:r w:rsidRPr="004E0CFB">
        <w:rPr>
          <w:rFonts w:eastAsia="Calibri" w:cs="Arial"/>
          <w:szCs w:val="22"/>
          <w:lang w:val="en-AU" w:bidi="ar-SA"/>
        </w:rPr>
        <w:t xml:space="preserve">health claims on their labels and in advertising and to transfer the regulation of electrolyte drinks and electrolyte drink bases </w:t>
      </w:r>
      <w:r w:rsidR="00C9507B" w:rsidRPr="004E0CFB">
        <w:rPr>
          <w:rFonts w:eastAsia="Calibri" w:cs="Arial"/>
          <w:szCs w:val="22"/>
          <w:lang w:val="en-AU" w:bidi="ar-SA"/>
        </w:rPr>
        <w:t xml:space="preserve">from Part 2.6 </w:t>
      </w:r>
      <w:r w:rsidRPr="004E0CFB">
        <w:rPr>
          <w:rFonts w:eastAsia="Calibri" w:cs="Arial"/>
          <w:szCs w:val="22"/>
          <w:lang w:val="en-AU" w:bidi="ar-SA"/>
        </w:rPr>
        <w:t xml:space="preserve">to Part 2.9 of the Code. The Authority considered the Proposal in accordance with Division 2 of Part 3 and has approved a draft </w:t>
      </w:r>
      <w:r w:rsidR="0098651F" w:rsidRPr="004E0CFB">
        <w:rPr>
          <w:rFonts w:eastAsia="Calibri" w:cs="Arial"/>
          <w:szCs w:val="22"/>
          <w:lang w:val="en-AU" w:bidi="ar-SA"/>
        </w:rPr>
        <w:t>variation</w:t>
      </w:r>
      <w:r w:rsidRPr="004E0CFB">
        <w:rPr>
          <w:rFonts w:eastAsia="Calibri" w:cs="Arial"/>
          <w:szCs w:val="22"/>
          <w:lang w:val="en-AU" w:bidi="ar-SA"/>
        </w:rPr>
        <w:t xml:space="preserve">. </w:t>
      </w:r>
    </w:p>
    <w:p w14:paraId="19563691" w14:textId="77777777" w:rsidR="00C646F4" w:rsidRPr="004E0CFB" w:rsidRDefault="00C646F4" w:rsidP="00424BD1">
      <w:pPr>
        <w:widowControl/>
        <w:spacing w:before="120" w:after="120"/>
        <w:jc w:val="both"/>
        <w:rPr>
          <w:b/>
          <w:lang w:val="en-AU" w:eastAsia="en-GB" w:bidi="ar-SA"/>
        </w:rPr>
      </w:pPr>
      <w:r w:rsidRPr="004E0CFB">
        <w:rPr>
          <w:b/>
          <w:lang w:val="en-AU" w:eastAsia="en-GB" w:bidi="ar-SA"/>
        </w:rPr>
        <w:t>2.</w:t>
      </w:r>
      <w:r w:rsidRPr="004E0CFB">
        <w:rPr>
          <w:b/>
          <w:lang w:val="en-AU" w:eastAsia="en-GB" w:bidi="ar-SA"/>
        </w:rPr>
        <w:tab/>
        <w:t xml:space="preserve">Purpose </w:t>
      </w:r>
    </w:p>
    <w:p w14:paraId="19563693" w14:textId="77777777" w:rsidR="00C646F4" w:rsidRPr="004E0CFB" w:rsidRDefault="00C646F4" w:rsidP="00424BD1">
      <w:pPr>
        <w:widowControl/>
        <w:spacing w:before="120" w:after="120"/>
        <w:rPr>
          <w:lang w:val="en-AU" w:eastAsia="en-GB" w:bidi="ar-SA"/>
        </w:rPr>
      </w:pPr>
      <w:r w:rsidRPr="004E0CFB">
        <w:rPr>
          <w:lang w:val="en-AU" w:eastAsia="en-GB" w:bidi="ar-SA"/>
        </w:rPr>
        <w:t xml:space="preserve">The Authority has approved a draft variation that permits </w:t>
      </w:r>
      <w:r w:rsidR="00F10DE8" w:rsidRPr="004E0CFB">
        <w:rPr>
          <w:lang w:val="en-AU" w:eastAsia="en-GB" w:bidi="ar-SA"/>
        </w:rPr>
        <w:t xml:space="preserve">formulated supplementary sports foods and </w:t>
      </w:r>
      <w:r w:rsidRPr="004E0CFB">
        <w:rPr>
          <w:lang w:val="en-AU" w:eastAsia="en-GB" w:bidi="ar-SA"/>
        </w:rPr>
        <w:t xml:space="preserve">electrolyte drinks, electrolyte drink bases to carry health claims related to their purpose. These claims must be made in accordance with the requirements of Standard 1.2.7 – Nutrition, Health and Related Claims. The draft variation does not change the compositional permissions for formulated supplementary sports foods, electrolyte drinks and electrolyte drink bases; or the permissions for nutrition content claims. </w:t>
      </w:r>
    </w:p>
    <w:p w14:paraId="19563695" w14:textId="77777777" w:rsidR="00C646F4" w:rsidRPr="004E0CFB" w:rsidRDefault="00C646F4" w:rsidP="00424BD1">
      <w:pPr>
        <w:widowControl/>
        <w:spacing w:before="120" w:after="120"/>
        <w:rPr>
          <w:lang w:val="en-AU" w:eastAsia="en-GB" w:bidi="ar-SA"/>
        </w:rPr>
      </w:pPr>
      <w:r w:rsidRPr="004E0CFB">
        <w:rPr>
          <w:lang w:val="en-AU" w:eastAsia="en-GB" w:bidi="ar-SA"/>
        </w:rPr>
        <w:t xml:space="preserve">In addition, the draft variation transfers the regulation of electrolyte drinks and electrolyte drink bases from Standard 2.6.2 – Non-Alcoholic Beverages and Brewed Soft Drinks to Standard 2.9.4 – Formulated Supplementary Sports Foods. This recognises that electrolyte drinks and electrolyte drink bases are formulated for a specific purpose, have prescribed composition to achieve that purpose, and as such, are better regulated in the section of the Code that relates to special purpose foods. </w:t>
      </w:r>
    </w:p>
    <w:p w14:paraId="19563697" w14:textId="77777777" w:rsidR="007601F6" w:rsidRPr="004E0CFB" w:rsidRDefault="007601F6" w:rsidP="00424BD1">
      <w:pPr>
        <w:widowControl/>
        <w:spacing w:before="120" w:after="120"/>
        <w:rPr>
          <w:b/>
          <w:lang w:val="en-AU" w:eastAsia="en-GB" w:bidi="ar-SA"/>
        </w:rPr>
      </w:pPr>
      <w:r w:rsidRPr="004E0CFB">
        <w:rPr>
          <w:b/>
          <w:lang w:val="en-AU" w:eastAsia="en-GB" w:bidi="ar-SA"/>
        </w:rPr>
        <w:t>3.</w:t>
      </w:r>
      <w:r w:rsidRPr="004E0CFB">
        <w:rPr>
          <w:b/>
          <w:lang w:val="en-AU" w:eastAsia="en-GB" w:bidi="ar-SA"/>
        </w:rPr>
        <w:tab/>
        <w:t>Documents incorporated by reference</w:t>
      </w:r>
    </w:p>
    <w:p w14:paraId="19563699" w14:textId="77777777" w:rsidR="007601F6" w:rsidRPr="004E0CFB" w:rsidRDefault="007601F6" w:rsidP="00424BD1">
      <w:pPr>
        <w:widowControl/>
        <w:autoSpaceDE w:val="0"/>
        <w:autoSpaceDN w:val="0"/>
        <w:adjustRightInd w:val="0"/>
        <w:spacing w:before="120" w:after="120"/>
        <w:rPr>
          <w:rFonts w:eastAsia="Calibri" w:cs="Arial"/>
          <w:szCs w:val="22"/>
          <w:lang w:val="en-AU" w:bidi="ar-SA"/>
        </w:rPr>
      </w:pPr>
      <w:r w:rsidRPr="004E0CFB">
        <w:rPr>
          <w:rFonts w:eastAsia="Calibri" w:cs="Arial"/>
          <w:szCs w:val="22"/>
          <w:lang w:val="en-AU" w:bidi="ar-SA"/>
        </w:rPr>
        <w:t>The variations to food regulatory measures do not incorporate any documents by reference.</w:t>
      </w:r>
    </w:p>
    <w:p w14:paraId="1956369B" w14:textId="77777777" w:rsidR="007601F6" w:rsidRPr="004E0CFB" w:rsidRDefault="007601F6" w:rsidP="00424BD1">
      <w:pPr>
        <w:widowControl/>
        <w:spacing w:before="120" w:after="120"/>
        <w:rPr>
          <w:b/>
          <w:lang w:val="en-AU" w:eastAsia="en-GB" w:bidi="ar-SA"/>
        </w:rPr>
      </w:pPr>
      <w:r w:rsidRPr="004E0CFB">
        <w:rPr>
          <w:b/>
          <w:lang w:val="en-AU" w:eastAsia="en-GB" w:bidi="ar-SA"/>
        </w:rPr>
        <w:t>4.</w:t>
      </w:r>
      <w:r w:rsidRPr="004E0CFB">
        <w:rPr>
          <w:b/>
          <w:lang w:val="en-AU" w:eastAsia="en-GB" w:bidi="ar-SA"/>
        </w:rPr>
        <w:tab/>
        <w:t>Consultation</w:t>
      </w:r>
    </w:p>
    <w:p w14:paraId="1956369D" w14:textId="77777777" w:rsidR="007601F6" w:rsidRPr="004E0CFB" w:rsidRDefault="007601F6" w:rsidP="00424BD1">
      <w:pPr>
        <w:widowControl/>
        <w:spacing w:before="120" w:after="120"/>
        <w:rPr>
          <w:lang w:val="en-AU"/>
        </w:rPr>
      </w:pPr>
      <w:r w:rsidRPr="004E0CFB">
        <w:rPr>
          <w:szCs w:val="22"/>
        </w:rPr>
        <w:t xml:space="preserve">In accordance with the procedure in Division 2 of Part 3 of the FSANZ Act, </w:t>
      </w:r>
      <w:r w:rsidRPr="004E0CFB">
        <w:rPr>
          <w:rFonts w:eastAsia="Calibri" w:cs="Arial"/>
          <w:szCs w:val="22"/>
          <w:lang w:val="en-AU" w:bidi="ar-SA"/>
        </w:rPr>
        <w:t>the Authority</w:t>
      </w:r>
      <w:r w:rsidRPr="004E0CFB">
        <w:rPr>
          <w:szCs w:val="22"/>
        </w:rPr>
        <w:t xml:space="preserve">’s consideration of Proposal P1030 will include one round of public consultation following an assessment and the preparation of a draft </w:t>
      </w:r>
      <w:r w:rsidR="008D6788" w:rsidRPr="004E0CFB">
        <w:rPr>
          <w:szCs w:val="22"/>
        </w:rPr>
        <w:t xml:space="preserve">variation </w:t>
      </w:r>
      <w:r w:rsidRPr="004E0CFB">
        <w:rPr>
          <w:szCs w:val="22"/>
        </w:rPr>
        <w:t xml:space="preserve">and associated report. </w:t>
      </w:r>
    </w:p>
    <w:p w14:paraId="1956369F" w14:textId="77777777" w:rsidR="007601F6" w:rsidRPr="004E0CFB" w:rsidRDefault="007601F6" w:rsidP="00424BD1">
      <w:pPr>
        <w:widowControl/>
        <w:autoSpaceDE w:val="0"/>
        <w:autoSpaceDN w:val="0"/>
        <w:adjustRightInd w:val="0"/>
        <w:spacing w:before="120" w:after="120"/>
        <w:rPr>
          <w:rFonts w:cs="Arial"/>
          <w:szCs w:val="22"/>
        </w:rPr>
      </w:pPr>
      <w:r w:rsidRPr="004E0CFB">
        <w:rPr>
          <w:rFonts w:eastAsia="Calibri" w:cs="Arial"/>
          <w:szCs w:val="22"/>
          <w:lang w:val="en-AU" w:bidi="ar-SA"/>
        </w:rPr>
        <w:t>A Regulation Impact Statement was not required because the proposed variations to Standard</w:t>
      </w:r>
      <w:r w:rsidR="00500EAA" w:rsidRPr="004E0CFB">
        <w:rPr>
          <w:rFonts w:eastAsia="Calibri" w:cs="Arial"/>
          <w:szCs w:val="22"/>
          <w:lang w:val="en-AU" w:bidi="ar-SA"/>
        </w:rPr>
        <w:t>s 1.2.7, 1.3.1,</w:t>
      </w:r>
      <w:r w:rsidRPr="004E0CFB">
        <w:rPr>
          <w:rFonts w:eastAsia="Calibri" w:cs="Arial"/>
          <w:szCs w:val="22"/>
          <w:lang w:val="en-AU" w:bidi="ar-SA"/>
        </w:rPr>
        <w:t xml:space="preserve"> 2.6.2 and 2.9.4 </w:t>
      </w:r>
      <w:r w:rsidRPr="004E0CFB">
        <w:t xml:space="preserve">are likely to have a minor impact on business and individuals. </w:t>
      </w:r>
    </w:p>
    <w:p w14:paraId="195636A1" w14:textId="77777777" w:rsidR="007601F6" w:rsidRPr="004E0CFB" w:rsidRDefault="007601F6" w:rsidP="00424BD1">
      <w:pPr>
        <w:widowControl/>
        <w:spacing w:before="120" w:after="120"/>
        <w:rPr>
          <w:rFonts w:eastAsiaTheme="minorHAnsi" w:cs="Arial"/>
          <w:b/>
          <w:szCs w:val="22"/>
          <w:lang w:val="en-AU" w:bidi="ar-SA"/>
        </w:rPr>
      </w:pPr>
      <w:r w:rsidRPr="004E0CFB">
        <w:rPr>
          <w:rFonts w:eastAsiaTheme="minorHAnsi" w:cs="Arial"/>
          <w:b/>
          <w:szCs w:val="22"/>
          <w:lang w:val="en-AU" w:bidi="ar-SA"/>
        </w:rPr>
        <w:t>5.</w:t>
      </w:r>
      <w:r w:rsidRPr="004E0CFB">
        <w:rPr>
          <w:rFonts w:eastAsiaTheme="minorHAnsi" w:cs="Arial"/>
          <w:b/>
          <w:szCs w:val="22"/>
          <w:lang w:val="en-AU" w:bidi="ar-SA"/>
        </w:rPr>
        <w:tab/>
        <w:t>Statement of compatibility with human rights</w:t>
      </w:r>
    </w:p>
    <w:p w14:paraId="195636A3" w14:textId="77777777" w:rsidR="007601F6" w:rsidRPr="004E0CFB" w:rsidRDefault="007601F6" w:rsidP="00424BD1">
      <w:pPr>
        <w:widowControl/>
        <w:spacing w:before="120" w:after="120"/>
        <w:rPr>
          <w:rFonts w:eastAsiaTheme="minorHAnsi"/>
          <w:lang w:val="en-AU" w:bidi="ar-SA"/>
        </w:rPr>
      </w:pPr>
      <w:r w:rsidRPr="004E0CFB">
        <w:rPr>
          <w:rFonts w:eastAsiaTheme="minorHAnsi"/>
          <w:lang w:val="en-AU" w:bidi="ar-SA"/>
        </w:rPr>
        <w:t>This instrument is exempt from the requirements for a statement of compatibility with human rights as it is a non-disallowable instrument under section 94 of the FSANZ Act.</w:t>
      </w:r>
    </w:p>
    <w:p w14:paraId="195636A5" w14:textId="5E12CB3A" w:rsidR="00C646F4" w:rsidRPr="004E0CFB" w:rsidRDefault="00C646F4" w:rsidP="00424BD1">
      <w:pPr>
        <w:widowControl/>
        <w:spacing w:before="120" w:after="120"/>
        <w:rPr>
          <w:b/>
          <w:lang w:val="en-AU" w:eastAsia="en-GB" w:bidi="ar-SA"/>
        </w:rPr>
      </w:pPr>
      <w:r w:rsidRPr="004E0CFB">
        <w:rPr>
          <w:b/>
        </w:rPr>
        <w:lastRenderedPageBreak/>
        <w:t>6.</w:t>
      </w:r>
      <w:r w:rsidRPr="004E0CFB">
        <w:rPr>
          <w:b/>
        </w:rPr>
        <w:tab/>
      </w:r>
      <w:r w:rsidRPr="004E0CFB">
        <w:rPr>
          <w:b/>
          <w:lang w:val="en-AU" w:eastAsia="en-GB" w:bidi="ar-SA"/>
        </w:rPr>
        <w:t>Variation</w:t>
      </w:r>
    </w:p>
    <w:p w14:paraId="195636A7" w14:textId="77777777" w:rsidR="00C646F4" w:rsidRPr="004E0CFB" w:rsidRDefault="00C646F4" w:rsidP="00424BD1">
      <w:pPr>
        <w:widowControl/>
        <w:spacing w:before="120" w:after="120"/>
        <w:jc w:val="both"/>
        <w:rPr>
          <w:b/>
          <w:i/>
        </w:rPr>
      </w:pPr>
      <w:r w:rsidRPr="004E0CFB">
        <w:rPr>
          <w:b/>
          <w:i/>
        </w:rPr>
        <w:t>Standard 1.2.7 – Nutrition, Health and Related claims</w:t>
      </w:r>
    </w:p>
    <w:p w14:paraId="195636A9" w14:textId="77777777" w:rsidR="00C646F4" w:rsidRPr="004E0CFB" w:rsidRDefault="00C646F4" w:rsidP="00424BD1">
      <w:pPr>
        <w:widowControl/>
        <w:spacing w:before="120" w:after="120"/>
      </w:pPr>
      <w:r w:rsidRPr="004E0CFB">
        <w:t>Item [1] amends Schedule 1 – Conditions for Nutrition Content Claims of Standard 1.2.7. It inserts a new condition in the entry in the Schedule for ‘Vitamin or mineral (not including potassium or sodium)’. The amendment requires that the conditions listed in subclause 5(2) of Standard 2.</w:t>
      </w:r>
      <w:r w:rsidRPr="004E0CFB">
        <w:rPr>
          <w:rStyle w:val="142tabletext1Char"/>
          <w:sz w:val="22"/>
          <w:szCs w:val="22"/>
        </w:rPr>
        <w:t xml:space="preserve">9.4 </w:t>
      </w:r>
      <w:r w:rsidRPr="004E0CFB">
        <w:t>for making a claim about the presence of a vitamin or mineral in a formulated supplementary sports food must be met when making a nutrition content claim listed in Schedule 1 or health claim</w:t>
      </w:r>
      <w:r w:rsidR="00BD3B4F" w:rsidRPr="004E0CFB">
        <w:t>s</w:t>
      </w:r>
      <w:r w:rsidRPr="004E0CFB">
        <w:t xml:space="preserve"> listed in either Schedule 2 or 3 of Standard 1.2.7, under the Standard, in relation to a vitamin or mineral in a formulated supplementary sports food.</w:t>
      </w:r>
    </w:p>
    <w:p w14:paraId="195636AB" w14:textId="77777777" w:rsidR="00C646F4" w:rsidRPr="004E0CFB" w:rsidRDefault="00C646F4" w:rsidP="00424BD1">
      <w:pPr>
        <w:widowControl/>
        <w:spacing w:before="120" w:after="120"/>
        <w:jc w:val="both"/>
        <w:rPr>
          <w:b/>
          <w:i/>
        </w:rPr>
      </w:pPr>
      <w:r w:rsidRPr="004E0CFB">
        <w:rPr>
          <w:b/>
          <w:i/>
        </w:rPr>
        <w:t>Standard 1.3.1 – Food Additives</w:t>
      </w:r>
    </w:p>
    <w:p w14:paraId="195636AD" w14:textId="77777777" w:rsidR="00C646F4" w:rsidRPr="004E0CFB" w:rsidRDefault="00C646F4" w:rsidP="00424BD1">
      <w:pPr>
        <w:widowControl/>
        <w:spacing w:before="120" w:after="120"/>
      </w:pPr>
      <w:r w:rsidRPr="004E0CFB">
        <w:t xml:space="preserve">Item [2] amends Schedule 1 in Standard 1.3.1. It transfers the food additive permissions specific to electrolyte drinks and electrolyte drink bases from subitem 14.1.3 in Schedule 1 of Standard 1.3.1 to a new subitem under item 13 of that Schedule. The new subitem is headed ‘13.5 Electrolyte drink and electrolyte drink base*’. </w:t>
      </w:r>
    </w:p>
    <w:p w14:paraId="195636AF" w14:textId="77777777" w:rsidR="00C646F4" w:rsidRPr="004E0CFB" w:rsidRDefault="00C646F4" w:rsidP="00424BD1">
      <w:pPr>
        <w:widowControl/>
        <w:spacing w:before="120" w:after="120"/>
      </w:pPr>
      <w:r w:rsidRPr="004E0CFB">
        <w:t>The food additive permissions listed under the new subitem also include the permissions listed under subitem 14.1.3 which have applied generally to electrolyte drinks and electrolyte drink bases as water</w:t>
      </w:r>
      <w:r w:rsidR="00F10DE8" w:rsidRPr="004E0CFB">
        <w:t>-</w:t>
      </w:r>
      <w:r w:rsidRPr="004E0CFB">
        <w:t>based flavoured drinks. The more restrictive maximum permitted levels set by the food additive permissions specific to electrolyte drinks and electrolyte drink bases in subitem 14.1.3 have been retained in the new subitem. The general permissions listed in subitem 14.1.3 for water</w:t>
      </w:r>
      <w:r w:rsidR="00F10DE8" w:rsidRPr="004E0CFB">
        <w:t>-</w:t>
      </w:r>
      <w:r w:rsidRPr="004E0CFB">
        <w:t>based flavoured drinks remain unchanged.</w:t>
      </w:r>
    </w:p>
    <w:p w14:paraId="195636B1" w14:textId="77777777" w:rsidR="00C646F4" w:rsidRPr="004E0CFB" w:rsidRDefault="00C646F4" w:rsidP="00424BD1">
      <w:pPr>
        <w:widowControl/>
        <w:spacing w:before="120" w:after="120"/>
      </w:pPr>
      <w:r w:rsidRPr="004E0CFB">
        <w:t xml:space="preserve">Current subitems 13.5, 13.5.1 and 13.5.2 in Schedule 1 have been renumbered. </w:t>
      </w:r>
    </w:p>
    <w:p w14:paraId="195636B3" w14:textId="77777777" w:rsidR="00C646F4" w:rsidRPr="004E0CFB" w:rsidRDefault="00C646F4" w:rsidP="00424BD1">
      <w:pPr>
        <w:widowControl/>
        <w:spacing w:before="120" w:after="120"/>
        <w:jc w:val="both"/>
        <w:rPr>
          <w:b/>
          <w:i/>
        </w:rPr>
      </w:pPr>
      <w:r w:rsidRPr="004E0CFB">
        <w:rPr>
          <w:b/>
          <w:i/>
        </w:rPr>
        <w:t>Standard 2.6.2 – Non-alcoholic Beverages and Brewed Soft Drinks</w:t>
      </w:r>
    </w:p>
    <w:p w14:paraId="195636B5" w14:textId="77777777" w:rsidR="00C646F4" w:rsidRPr="004E0CFB" w:rsidRDefault="00C646F4" w:rsidP="00424BD1">
      <w:pPr>
        <w:widowControl/>
        <w:spacing w:before="120" w:after="120"/>
      </w:pPr>
      <w:r w:rsidRPr="004E0CFB">
        <w:t xml:space="preserve">Item [3] amends Standard 2.6.2 to remove references to electrolyte drinks and electrolyte drink bases, as well as the requirements specifically relating to electrolyte drinks and electrolyte drink bases. The amendments are as follows. </w:t>
      </w:r>
    </w:p>
    <w:p w14:paraId="195636B7" w14:textId="77777777" w:rsidR="00C646F4" w:rsidRPr="004E0CFB" w:rsidRDefault="00C646F4" w:rsidP="00424BD1">
      <w:pPr>
        <w:widowControl/>
        <w:spacing w:before="120" w:after="120"/>
      </w:pPr>
      <w:r w:rsidRPr="004E0CFB">
        <w:t>Subitem [3.1] substitutes the Purpose statement for Standard 2.6.2 to reflect that electrolyte drinks and electrolyte drink bases are no longer covered by that Standard.</w:t>
      </w:r>
    </w:p>
    <w:p w14:paraId="195636B9" w14:textId="77777777" w:rsidR="00C646F4" w:rsidRPr="004E0CFB" w:rsidRDefault="00C646F4" w:rsidP="00424BD1">
      <w:pPr>
        <w:widowControl/>
        <w:spacing w:before="120" w:after="120"/>
      </w:pPr>
      <w:r w:rsidRPr="004E0CFB">
        <w:t>Subitem [3.2] omits the definitions of ‘electrolyte drink’ and ‘electrolyte drink base’ in clause 1.</w:t>
      </w:r>
    </w:p>
    <w:p w14:paraId="195636BA" w14:textId="77777777" w:rsidR="00C646F4" w:rsidRPr="004E0CFB" w:rsidRDefault="00C646F4" w:rsidP="00424BD1">
      <w:pPr>
        <w:widowControl/>
        <w:spacing w:before="120" w:after="120"/>
      </w:pPr>
      <w:r w:rsidRPr="004E0CFB">
        <w:t>Subitem [3.3] substitutes the definition of ‘non-alcoholic beverage’ in clause 1 to remove the reference in that definition to electrolyte drinks.</w:t>
      </w:r>
    </w:p>
    <w:p w14:paraId="195636BC" w14:textId="77777777" w:rsidR="00C646F4" w:rsidRPr="004E0CFB" w:rsidRDefault="00C646F4" w:rsidP="00424BD1">
      <w:pPr>
        <w:widowControl/>
        <w:spacing w:before="120" w:after="120"/>
      </w:pPr>
      <w:r w:rsidRPr="004E0CFB">
        <w:t>Subitem [3.4] omits clauses 6 to 8. They are provisions that specifically relate to electrolyte drinks and electrolyte drink bases.</w:t>
      </w:r>
    </w:p>
    <w:p w14:paraId="195636BE" w14:textId="77777777" w:rsidR="00C646F4" w:rsidRPr="004E0CFB" w:rsidRDefault="00C646F4" w:rsidP="00424BD1">
      <w:pPr>
        <w:widowControl/>
        <w:spacing w:before="120" w:after="120"/>
      </w:pPr>
      <w:r w:rsidRPr="004E0CFB">
        <w:t>Subitem [3.5] renumbers clause 9 to reflect the new structure of Standard 2.6.2.</w:t>
      </w:r>
    </w:p>
    <w:p w14:paraId="195636C0" w14:textId="77777777" w:rsidR="00C646F4" w:rsidRPr="004E0CFB" w:rsidRDefault="00C646F4" w:rsidP="00424BD1">
      <w:pPr>
        <w:widowControl/>
        <w:spacing w:before="120" w:after="120"/>
      </w:pPr>
      <w:r w:rsidRPr="004E0CFB">
        <w:t>Subitem [3.6] updates the Table of Provisions in Standard 2.6.2 to reflect the amendments made to that Standard.</w:t>
      </w:r>
    </w:p>
    <w:p w14:paraId="195636C2" w14:textId="77777777" w:rsidR="00C646F4" w:rsidRPr="004E0CFB" w:rsidRDefault="00C646F4" w:rsidP="00424BD1">
      <w:pPr>
        <w:widowControl/>
        <w:spacing w:before="120" w:after="120"/>
        <w:jc w:val="both"/>
        <w:rPr>
          <w:b/>
          <w:i/>
        </w:rPr>
      </w:pPr>
      <w:r w:rsidRPr="004E0CFB">
        <w:rPr>
          <w:b/>
          <w:i/>
        </w:rPr>
        <w:t>Standard 2.9.4 – Formulated Supplementary Sports Foods</w:t>
      </w:r>
    </w:p>
    <w:p w14:paraId="195636C4" w14:textId="77777777" w:rsidR="00C646F4" w:rsidRPr="004E0CFB" w:rsidRDefault="00C646F4" w:rsidP="00424BD1">
      <w:pPr>
        <w:widowControl/>
        <w:spacing w:before="120" w:after="120"/>
      </w:pPr>
      <w:r w:rsidRPr="004E0CFB">
        <w:t>Item 4 amends Standard 2.9.4 as follows.</w:t>
      </w:r>
    </w:p>
    <w:p w14:paraId="195636C6" w14:textId="770DAC83" w:rsidR="00947D34" w:rsidRPr="004E0CFB" w:rsidRDefault="00C646F4" w:rsidP="00424BD1">
      <w:pPr>
        <w:widowControl/>
        <w:spacing w:before="120" w:after="120"/>
      </w:pPr>
      <w:r w:rsidRPr="004E0CFB">
        <w:t>Subitem [4.1] substitutes the heading of Standard 2.9.4 to include electrolyte drinks.</w:t>
      </w:r>
    </w:p>
    <w:p w14:paraId="195636C7" w14:textId="77777777" w:rsidR="00C646F4" w:rsidRPr="004E0CFB" w:rsidRDefault="00C646F4" w:rsidP="00424BD1">
      <w:pPr>
        <w:widowControl/>
        <w:spacing w:before="120" w:after="120"/>
      </w:pPr>
      <w:r w:rsidRPr="004E0CFB">
        <w:lastRenderedPageBreak/>
        <w:t>Subitem [4.2] substitutes the Purpose statement of Standard 2.9.4 to reflect that the Standard now relates to electrolyte drinks and electrolyte drink bases</w:t>
      </w:r>
      <w:r w:rsidR="00F10DE8" w:rsidRPr="004E0CFB">
        <w:t>, as well as formulated supplementary sports foods</w:t>
      </w:r>
      <w:r w:rsidRPr="004E0CFB">
        <w:t>.</w:t>
      </w:r>
    </w:p>
    <w:p w14:paraId="195636C9" w14:textId="77777777" w:rsidR="00C646F4" w:rsidRPr="004E0CFB" w:rsidRDefault="00C646F4" w:rsidP="00424BD1">
      <w:pPr>
        <w:widowControl/>
        <w:spacing w:before="120" w:after="120"/>
      </w:pPr>
      <w:r w:rsidRPr="004E0CFB">
        <w:t>Subitems [4.3] and [4.7] amend existing headings in Standard 2.9.4 as a consequence of re</w:t>
      </w:r>
      <w:r w:rsidRPr="004E0CFB">
        <w:noBreakHyphen/>
        <w:t>structuring the Standard.</w:t>
      </w:r>
    </w:p>
    <w:p w14:paraId="195636CB" w14:textId="77777777" w:rsidR="00C646F4" w:rsidRPr="004E0CFB" w:rsidRDefault="00C646F4" w:rsidP="00424BD1">
      <w:pPr>
        <w:widowControl/>
        <w:spacing w:before="120" w:after="120"/>
      </w:pPr>
      <w:r w:rsidRPr="004E0CFB">
        <w:t xml:space="preserve">Subitem [4.4] substitutes clause 1 with two new subclauses. This is to include new and amended definitions and to differentiate between definitions that apply to the Code and the new definition of ‘the Variation’, which applies only to Division 4 of Standard 2.9.4. </w:t>
      </w:r>
    </w:p>
    <w:p w14:paraId="195636CD" w14:textId="77777777" w:rsidR="00C646F4" w:rsidRPr="004E0CFB" w:rsidRDefault="00C646F4" w:rsidP="00424BD1">
      <w:pPr>
        <w:widowControl/>
        <w:spacing w:before="120" w:after="120"/>
      </w:pPr>
      <w:r w:rsidRPr="004E0CFB">
        <w:t xml:space="preserve">Definitions of ‘electrolyte drink’ and ‘electrolyte drink base’, previously located in Standard 2.6.2, are inserted in clause 1. The definition of ‘electrolyte drink’ has been changed to mean a drink formulated for the rapid replacement of fluid, carbohydrates and electrolytes lost as a result of sustained strenuous physical activity.  </w:t>
      </w:r>
    </w:p>
    <w:p w14:paraId="195636CF" w14:textId="77777777" w:rsidR="00C646F4" w:rsidRPr="004E0CFB" w:rsidRDefault="00C646F4" w:rsidP="00424BD1">
      <w:pPr>
        <w:widowControl/>
        <w:spacing w:before="120" w:after="120"/>
      </w:pPr>
      <w:r w:rsidRPr="004E0CFB">
        <w:t>The pre-existing definition of ‘formulated supplementary sports food’ in clause 1, has been changed to mean food or a mixture of foods specifically formulated to assist sports people in achieving specific nutritional or performance goals, and which does not include electrolyte drinks and electrolyte drink bases.</w:t>
      </w:r>
    </w:p>
    <w:p w14:paraId="195636D1" w14:textId="77777777" w:rsidR="00C646F4" w:rsidRPr="004E0CFB" w:rsidRDefault="00C646F4" w:rsidP="00424BD1">
      <w:pPr>
        <w:widowControl/>
        <w:spacing w:before="120" w:after="120"/>
      </w:pPr>
      <w:r w:rsidRPr="004E0CFB">
        <w:t>The pre-existing definition of ‘one-day quantity’ in clause 1 remains unchanged.</w:t>
      </w:r>
    </w:p>
    <w:p w14:paraId="195636D3" w14:textId="77777777" w:rsidR="00C646F4" w:rsidRPr="004E0CFB" w:rsidRDefault="00C646F4" w:rsidP="00424BD1">
      <w:pPr>
        <w:widowControl/>
        <w:spacing w:before="120" w:after="120"/>
      </w:pPr>
      <w:r w:rsidRPr="004E0CFB">
        <w:t>The above definitions apply throughout the Code.</w:t>
      </w:r>
    </w:p>
    <w:p w14:paraId="195636D5" w14:textId="77777777" w:rsidR="00C646F4" w:rsidRPr="004E0CFB" w:rsidRDefault="00C646F4" w:rsidP="00424BD1">
      <w:pPr>
        <w:widowControl/>
        <w:spacing w:before="120" w:after="120"/>
      </w:pPr>
      <w:r w:rsidRPr="004E0CFB">
        <w:t>The new definition of ‘the Variation’ in subclause 1(2) applies only to Division 4 in clause 1.</w:t>
      </w:r>
    </w:p>
    <w:p w14:paraId="195636D7" w14:textId="77777777" w:rsidR="00C646F4" w:rsidRPr="004E0CFB" w:rsidRDefault="00C646F4" w:rsidP="00424BD1">
      <w:pPr>
        <w:widowControl/>
        <w:spacing w:before="120" w:after="120"/>
      </w:pPr>
      <w:r w:rsidRPr="004E0CFB">
        <w:t>Subitem [4.5] inserts a new Division 2 heading after clause 1 as another consequence of re</w:t>
      </w:r>
      <w:r w:rsidRPr="004E0CFB">
        <w:noBreakHyphen/>
        <w:t>structuring Standard 2.9.4.</w:t>
      </w:r>
    </w:p>
    <w:p w14:paraId="195636D9" w14:textId="77777777" w:rsidR="00C646F4" w:rsidRPr="004E0CFB" w:rsidRDefault="00C646F4" w:rsidP="00424BD1">
      <w:pPr>
        <w:widowControl/>
        <w:spacing w:before="120" w:after="120"/>
      </w:pPr>
      <w:r w:rsidRPr="004E0CFB">
        <w:t xml:space="preserve">Subitem [4.6] amends clause 6. It replaces the current prohibition on making certain representations in relation to formulated supplementary sports foods with a provision permitting health claims to be made in relation to such foods. Such a health claim must be made in accordance with Standard 1.2.7; and relate </w:t>
      </w:r>
      <w:r w:rsidRPr="004E0CFB">
        <w:rPr>
          <w:lang w:val="en-AU"/>
        </w:rPr>
        <w:t xml:space="preserve">only to </w:t>
      </w:r>
      <w:r w:rsidRPr="004E0CFB">
        <w:t>the specific nutritional or performance goal or goals for sports people that the food was formulated to achieve. The new clause 6 will not apply to the particular formulated supplementary sports foods covered by clause 7 to 9 of Standard 2.9.4. Existing permissions to make certain specific claims will remain.</w:t>
      </w:r>
    </w:p>
    <w:p w14:paraId="195636DB" w14:textId="77777777" w:rsidR="00C646F4" w:rsidRPr="004E0CFB" w:rsidRDefault="00C646F4" w:rsidP="00424BD1">
      <w:pPr>
        <w:widowControl/>
        <w:spacing w:before="120" w:after="120"/>
      </w:pPr>
      <w:r w:rsidRPr="004E0CFB">
        <w:t>Subitem [4.8] inserts a new Division 4 – Electrolyte drinks and Electrolyte Drink Bases into Standard 2.9.4 (clauses 10 to 17).</w:t>
      </w:r>
    </w:p>
    <w:p w14:paraId="195636DD" w14:textId="77777777" w:rsidR="00C646F4" w:rsidRPr="004E0CFB" w:rsidRDefault="00C646F4" w:rsidP="00424BD1">
      <w:pPr>
        <w:widowControl/>
        <w:spacing w:before="120" w:after="120"/>
      </w:pPr>
      <w:r w:rsidRPr="004E0CFB">
        <w:t>Clause 10 provides that new Divisions 2 and 3, which relate to formulated supplementary sports foods, do not apply to electrolyte drinks and electrolyte drink bases.</w:t>
      </w:r>
    </w:p>
    <w:p w14:paraId="195636DF" w14:textId="77777777" w:rsidR="00C646F4" w:rsidRPr="004E0CFB" w:rsidRDefault="00C646F4" w:rsidP="00424BD1">
      <w:pPr>
        <w:pStyle w:val="Clause"/>
        <w:widowControl/>
        <w:spacing w:before="120" w:after="120"/>
        <w:rPr>
          <w:sz w:val="22"/>
          <w:szCs w:val="22"/>
        </w:rPr>
      </w:pPr>
      <w:r w:rsidRPr="004E0CFB">
        <w:rPr>
          <w:sz w:val="22"/>
          <w:szCs w:val="22"/>
        </w:rPr>
        <w:t xml:space="preserve">Clause 11 provides that the usual stock-in-trade provision in Standard 1.1.1 does not apply to the amendments made by the </w:t>
      </w:r>
      <w:r w:rsidRPr="004E0CFB">
        <w:rPr>
          <w:i/>
          <w:sz w:val="22"/>
          <w:szCs w:val="22"/>
        </w:rPr>
        <w:t xml:space="preserve">Food Standards (Proposal P1030 – Health Claims </w:t>
      </w:r>
      <w:r w:rsidR="00A06134" w:rsidRPr="004E0CFB">
        <w:rPr>
          <w:i/>
          <w:sz w:val="22"/>
          <w:szCs w:val="22"/>
        </w:rPr>
        <w:t xml:space="preserve">– </w:t>
      </w:r>
      <w:r w:rsidRPr="004E0CFB">
        <w:rPr>
          <w:i/>
          <w:sz w:val="22"/>
          <w:szCs w:val="22"/>
        </w:rPr>
        <w:t>For</w:t>
      </w:r>
      <w:r w:rsidR="00A06134" w:rsidRPr="004E0CFB">
        <w:rPr>
          <w:i/>
          <w:sz w:val="22"/>
          <w:szCs w:val="22"/>
        </w:rPr>
        <w:t xml:space="preserve">mulated Supplementary </w:t>
      </w:r>
      <w:r w:rsidRPr="004E0CFB">
        <w:rPr>
          <w:i/>
          <w:sz w:val="22"/>
          <w:szCs w:val="22"/>
        </w:rPr>
        <w:t>Sports Foods &amp; Electrolyte Drinks) Variation</w:t>
      </w:r>
      <w:r w:rsidRPr="004E0CFB">
        <w:rPr>
          <w:sz w:val="22"/>
          <w:szCs w:val="22"/>
        </w:rPr>
        <w:t xml:space="preserve"> (the Variation) in relation to electrolyte drinks and electrolyte drink bases.</w:t>
      </w:r>
    </w:p>
    <w:p w14:paraId="195636E1" w14:textId="7C6F4EE3" w:rsidR="00947D34" w:rsidRPr="004E0CFB" w:rsidRDefault="00C646F4" w:rsidP="00424BD1">
      <w:pPr>
        <w:widowControl/>
        <w:spacing w:before="120" w:after="120"/>
        <w:rPr>
          <w:szCs w:val="22"/>
        </w:rPr>
      </w:pPr>
      <w:r w:rsidRPr="004E0CFB">
        <w:rPr>
          <w:szCs w:val="22"/>
        </w:rPr>
        <w:t xml:space="preserve">Clause 12 provides for transitional arrangements during a transition period commencing </w:t>
      </w:r>
      <w:r w:rsidRPr="004E0CFB">
        <w:t>on the commencement date of the Variation and ending on 18 January 2016</w:t>
      </w:r>
      <w:r w:rsidRPr="004E0CFB">
        <w:rPr>
          <w:szCs w:val="22"/>
        </w:rPr>
        <w:t xml:space="preserve">. This will allow </w:t>
      </w:r>
      <w:r w:rsidRPr="004E0CFB">
        <w:t xml:space="preserve">electrolyte drinks and electrolyte drink bases, during the transition period, to comply with the composition and labelling requirements either in the Code, which includes amendments by the Variation; or </w:t>
      </w:r>
      <w:r w:rsidRPr="004E0CFB">
        <w:rPr>
          <w:szCs w:val="22"/>
        </w:rPr>
        <w:t xml:space="preserve">the Code as if the Variation had not commenced (but not with both). </w:t>
      </w:r>
    </w:p>
    <w:p w14:paraId="195636E2" w14:textId="77777777" w:rsidR="00C646F4" w:rsidRPr="004E0CFB" w:rsidRDefault="00C646F4" w:rsidP="00424BD1">
      <w:pPr>
        <w:widowControl/>
        <w:spacing w:before="120" w:after="120"/>
      </w:pPr>
      <w:r w:rsidRPr="004E0CFB">
        <w:rPr>
          <w:szCs w:val="22"/>
        </w:rPr>
        <w:lastRenderedPageBreak/>
        <w:t xml:space="preserve">Clause 13 provides for a stock-in-trade period, which commences on 19 </w:t>
      </w:r>
      <w:r w:rsidRPr="004E0CFB">
        <w:t xml:space="preserve">January 2016 and ends on 18 January 2017. </w:t>
      </w:r>
      <w:r w:rsidRPr="004E0CFB">
        <w:rPr>
          <w:szCs w:val="22"/>
        </w:rPr>
        <w:t xml:space="preserve">This will allow </w:t>
      </w:r>
      <w:r w:rsidRPr="004E0CFB">
        <w:t xml:space="preserve">electrolyte drinks and electrolyte drink bases, during the </w:t>
      </w:r>
      <w:r w:rsidRPr="004E0CFB">
        <w:rPr>
          <w:szCs w:val="22"/>
        </w:rPr>
        <w:t>stock-in-trade</w:t>
      </w:r>
      <w:r w:rsidRPr="004E0CFB">
        <w:t xml:space="preserve"> period, to comply with the composition and labelling requirements either in the Code, which includes amendments by the Variation; or </w:t>
      </w:r>
      <w:r w:rsidRPr="004E0CFB">
        <w:rPr>
          <w:szCs w:val="22"/>
        </w:rPr>
        <w:t xml:space="preserve">the Code as if the Variation had not commenced. </w:t>
      </w:r>
      <w:r w:rsidRPr="004E0CFB">
        <w:t xml:space="preserve">During the </w:t>
      </w:r>
      <w:r w:rsidRPr="004E0CFB">
        <w:rPr>
          <w:szCs w:val="22"/>
        </w:rPr>
        <w:t>stock-in-trade</w:t>
      </w:r>
      <w:r w:rsidRPr="004E0CFB">
        <w:t xml:space="preserve"> period, electrolyte drinks and electrolyte drink bases</w:t>
      </w:r>
      <w:r w:rsidRPr="004E0CFB">
        <w:rPr>
          <w:szCs w:val="22"/>
        </w:rPr>
        <w:t xml:space="preserve"> may only </w:t>
      </w:r>
      <w:r w:rsidRPr="004E0CFB">
        <w:t>comply with the composition and labelling requirements</w:t>
      </w:r>
      <w:r w:rsidRPr="004E0CFB">
        <w:rPr>
          <w:szCs w:val="22"/>
        </w:rPr>
        <w:t xml:space="preserve"> in the Code as if the Variation had not commenced if the </w:t>
      </w:r>
      <w:r w:rsidRPr="004E0CFB">
        <w:t xml:space="preserve">food had complied with that version of the Code during the transitional period provided by clause 12. This has the effect </w:t>
      </w:r>
      <w:r w:rsidRPr="004E0CFB">
        <w:rPr>
          <w:szCs w:val="22"/>
        </w:rPr>
        <w:t xml:space="preserve">that </w:t>
      </w:r>
      <w:r w:rsidRPr="004E0CFB">
        <w:t>electrolyte drinks and electrolyte drink bases manufactured or imported during the stock-in-trade period must comply with the amended version of the Code.</w:t>
      </w:r>
    </w:p>
    <w:p w14:paraId="195636E4" w14:textId="77777777" w:rsidR="00C646F4" w:rsidRPr="004E0CFB" w:rsidRDefault="00C646F4" w:rsidP="00424BD1">
      <w:pPr>
        <w:widowControl/>
        <w:spacing w:before="120" w:after="120"/>
        <w:rPr>
          <w:szCs w:val="22"/>
        </w:rPr>
      </w:pPr>
      <w:r w:rsidRPr="004E0CFB">
        <w:rPr>
          <w:szCs w:val="22"/>
        </w:rPr>
        <w:t>Clause 14 sets out the composition requirements of electrolyte drinks and electrolyte drink bases when made up according to directions.</w:t>
      </w:r>
    </w:p>
    <w:p w14:paraId="195636E6" w14:textId="77777777" w:rsidR="00C646F4" w:rsidRPr="004E0CFB" w:rsidRDefault="00C646F4" w:rsidP="00424BD1">
      <w:pPr>
        <w:widowControl/>
        <w:spacing w:before="120" w:after="120"/>
        <w:rPr>
          <w:szCs w:val="22"/>
        </w:rPr>
      </w:pPr>
      <w:r w:rsidRPr="004E0CFB">
        <w:rPr>
          <w:szCs w:val="22"/>
        </w:rPr>
        <w:t>Subclause 14(1) requires that an electrolyte drink or electrolyte drink base, when made up according to directions, must contain no less than 10 mmol/L of sodium (according to clause 8 of Standard 1.1.1, mmol/L refers to millimole per litre).</w:t>
      </w:r>
    </w:p>
    <w:p w14:paraId="195636E8" w14:textId="77777777" w:rsidR="00C646F4" w:rsidRPr="004E0CFB" w:rsidRDefault="00C646F4" w:rsidP="00424BD1">
      <w:pPr>
        <w:widowControl/>
        <w:spacing w:before="120" w:after="120"/>
        <w:rPr>
          <w:szCs w:val="22"/>
        </w:rPr>
      </w:pPr>
      <w:r w:rsidRPr="004E0CFB">
        <w:rPr>
          <w:szCs w:val="22"/>
        </w:rPr>
        <w:t xml:space="preserve">Paragraph 14(2)(a) requires that an electrolyte drink or electrolyte drink base, when made up according to directions, must contain no less than 50 g/L and no more than 100 g/L, in total, of all of the following sugars – </w:t>
      </w:r>
    </w:p>
    <w:p w14:paraId="195636EA" w14:textId="77777777" w:rsidR="00C646F4" w:rsidRPr="004E0CFB" w:rsidRDefault="00EC184B" w:rsidP="00424BD1">
      <w:pPr>
        <w:widowControl/>
        <w:spacing w:before="120" w:after="120"/>
      </w:pPr>
      <w:r w:rsidRPr="004E0CFB">
        <w:t>(i)</w:t>
      </w:r>
      <w:r w:rsidRPr="004E0CFB">
        <w:tab/>
      </w:r>
      <w:r w:rsidR="00C646F4" w:rsidRPr="004E0CFB">
        <w:t>dextrose;</w:t>
      </w:r>
    </w:p>
    <w:p w14:paraId="195636EB" w14:textId="77777777" w:rsidR="00C646F4" w:rsidRPr="004E0CFB" w:rsidRDefault="00EC184B" w:rsidP="00424BD1">
      <w:pPr>
        <w:widowControl/>
        <w:spacing w:before="120" w:after="120"/>
      </w:pPr>
      <w:r w:rsidRPr="004E0CFB">
        <w:t>(ii)</w:t>
      </w:r>
      <w:r w:rsidRPr="004E0CFB">
        <w:tab/>
      </w:r>
      <w:r w:rsidR="00C646F4" w:rsidRPr="004E0CFB">
        <w:t>fructose;</w:t>
      </w:r>
    </w:p>
    <w:p w14:paraId="195636EC" w14:textId="77777777" w:rsidR="00C646F4" w:rsidRPr="004E0CFB" w:rsidRDefault="00EC184B" w:rsidP="00424BD1">
      <w:pPr>
        <w:widowControl/>
        <w:spacing w:before="120" w:after="120"/>
      </w:pPr>
      <w:r w:rsidRPr="004E0CFB">
        <w:t>(iii)</w:t>
      </w:r>
      <w:r w:rsidRPr="004E0CFB">
        <w:tab/>
      </w:r>
      <w:r w:rsidR="00C646F4" w:rsidRPr="004E0CFB">
        <w:t>glucose syrup;</w:t>
      </w:r>
    </w:p>
    <w:p w14:paraId="195636ED" w14:textId="77777777" w:rsidR="00C646F4" w:rsidRPr="004E0CFB" w:rsidRDefault="00EC184B" w:rsidP="00424BD1">
      <w:pPr>
        <w:widowControl/>
        <w:spacing w:before="120" w:after="120"/>
      </w:pPr>
      <w:r w:rsidRPr="004E0CFB">
        <w:t>(iv)</w:t>
      </w:r>
      <w:r w:rsidRPr="004E0CFB">
        <w:tab/>
      </w:r>
      <w:r w:rsidR="00C646F4" w:rsidRPr="004E0CFB">
        <w:t>maltodextrin; and</w:t>
      </w:r>
    </w:p>
    <w:p w14:paraId="195636EE" w14:textId="77777777" w:rsidR="00C646F4" w:rsidRPr="004E0CFB" w:rsidRDefault="00EC184B" w:rsidP="00424BD1">
      <w:pPr>
        <w:widowControl/>
        <w:spacing w:before="120" w:after="120"/>
      </w:pPr>
      <w:r w:rsidRPr="004E0CFB">
        <w:t>(v)</w:t>
      </w:r>
      <w:r w:rsidRPr="004E0CFB">
        <w:tab/>
      </w:r>
      <w:r w:rsidR="00C646F4" w:rsidRPr="004E0CFB">
        <w:t>sucrose.</w:t>
      </w:r>
    </w:p>
    <w:p w14:paraId="195636F0" w14:textId="77777777" w:rsidR="00C646F4" w:rsidRPr="004E0CFB" w:rsidRDefault="00C646F4" w:rsidP="00424BD1">
      <w:pPr>
        <w:widowControl/>
        <w:spacing w:before="120" w:after="120"/>
        <w:rPr>
          <w:szCs w:val="22"/>
        </w:rPr>
      </w:pPr>
      <w:r w:rsidRPr="004E0CFB">
        <w:rPr>
          <w:szCs w:val="22"/>
        </w:rPr>
        <w:t>Paragraph 14(2)(b) requires that an electrolyte drink or electrolyte drink base, when made up according to directions, must not contain more than 50 g/L of fructose out of the total amount of sugars listed in paragraph 14(2)(a).</w:t>
      </w:r>
    </w:p>
    <w:p w14:paraId="195636F2" w14:textId="77777777" w:rsidR="00C646F4" w:rsidRPr="004E0CFB" w:rsidRDefault="00C646F4" w:rsidP="00424BD1">
      <w:pPr>
        <w:widowControl/>
        <w:spacing w:before="120" w:after="120"/>
        <w:rPr>
          <w:szCs w:val="22"/>
        </w:rPr>
      </w:pPr>
      <w:r w:rsidRPr="004E0CFB">
        <w:rPr>
          <w:szCs w:val="22"/>
        </w:rPr>
        <w:t>Paragraph 14(3) allows an electrolyte drink or electrolyte drink base, when made up according to directions, to contain certain minerals and salts as listed.</w:t>
      </w:r>
    </w:p>
    <w:p w14:paraId="195636F4" w14:textId="77777777" w:rsidR="00C646F4" w:rsidRPr="004E0CFB" w:rsidRDefault="00C646F4" w:rsidP="00424BD1">
      <w:pPr>
        <w:widowControl/>
        <w:spacing w:before="120" w:after="120"/>
        <w:rPr>
          <w:szCs w:val="22"/>
        </w:rPr>
      </w:pPr>
      <w:r w:rsidRPr="004E0CFB">
        <w:rPr>
          <w:szCs w:val="22"/>
        </w:rPr>
        <w:t>These requirements were previously located in clause 6 of Standard 2.6.4 and although worded slightly differently, the actual requirements remain unchanged.</w:t>
      </w:r>
    </w:p>
    <w:p w14:paraId="195636F6" w14:textId="77777777" w:rsidR="00C646F4" w:rsidRPr="004E0CFB" w:rsidRDefault="00C646F4" w:rsidP="00424BD1">
      <w:pPr>
        <w:widowControl/>
        <w:spacing w:before="120" w:after="120"/>
        <w:rPr>
          <w:lang w:val="en-NZ"/>
        </w:rPr>
      </w:pPr>
      <w:r w:rsidRPr="004E0CFB">
        <w:rPr>
          <w:szCs w:val="22"/>
        </w:rPr>
        <w:t>Clause 15 sets out the labelling requirements of electrolyte drinks and electrolyte drink bases particularly in relation to nutrition information. S</w:t>
      </w:r>
      <w:r w:rsidRPr="004E0CFB">
        <w:t xml:space="preserve">ubclause 15(4) requires ‘Electrolyte drink’ to be used as the prescribed name for both electrolyte drinks and electrolyte drink bases. Other labelling requirements of </w:t>
      </w:r>
      <w:r w:rsidRPr="004E0CFB">
        <w:rPr>
          <w:szCs w:val="22"/>
        </w:rPr>
        <w:t xml:space="preserve">electrolyte drinks and electrolyte drink bases were previously in clause 7 of Standard 2.6.4. However, those requirements have been amended so as to </w:t>
      </w:r>
      <w:r w:rsidRPr="004E0CFB">
        <w:t xml:space="preserve">ensure that the nutrition information requirements in Standard 1.2.8 apply to </w:t>
      </w:r>
      <w:r w:rsidRPr="004E0CFB">
        <w:rPr>
          <w:lang w:val="en-NZ"/>
        </w:rPr>
        <w:t>the additional nutrition information requirements that are specific to electrolyte drinks and electrolyte drink bases. As requirements to declare the ‘average quantity’ of carbohydrate and the ‘average energy content’ are already set out in Standard 1.2.8</w:t>
      </w:r>
      <w:r w:rsidR="00371BE0" w:rsidRPr="004E0CFB">
        <w:rPr>
          <w:lang w:val="en-NZ"/>
        </w:rPr>
        <w:t>;</w:t>
      </w:r>
      <w:r w:rsidRPr="004E0CFB">
        <w:rPr>
          <w:lang w:val="en-NZ"/>
        </w:rPr>
        <w:t xml:space="preserve"> the requirement to declare ‘total carbohydrate’ and ‘average energy value’ ha</w:t>
      </w:r>
      <w:r w:rsidR="00371BE0" w:rsidRPr="004E0CFB">
        <w:rPr>
          <w:lang w:val="en-NZ"/>
        </w:rPr>
        <w:t>s</w:t>
      </w:r>
      <w:r w:rsidRPr="004E0CFB">
        <w:rPr>
          <w:lang w:val="en-NZ"/>
        </w:rPr>
        <w:t xml:space="preserve"> not been included in clause 15 of Standard 2.9.4.</w:t>
      </w:r>
    </w:p>
    <w:p w14:paraId="195636F8" w14:textId="77777777" w:rsidR="00C646F4" w:rsidRPr="004E0CFB" w:rsidRDefault="00C646F4" w:rsidP="00424BD1">
      <w:pPr>
        <w:widowControl/>
        <w:spacing w:before="120" w:after="120"/>
        <w:rPr>
          <w:highlight w:val="yellow"/>
        </w:rPr>
      </w:pPr>
      <w:r w:rsidRPr="004E0CFB">
        <w:t xml:space="preserve">Clause 16 provides for health claims to be made about electrolyte drinks and electrolyte drink bases. Such a health claim must be made in accordance with Standard </w:t>
      </w:r>
      <w:r w:rsidRPr="004E0CFB">
        <w:lastRenderedPageBreak/>
        <w:t>1.2.7; and only relate to the rapid replacement of fluid, carbohydrates and electrolytes lost as a result of sustained strenuous physical activity. Existing permissions to make certain specific claims remain.</w:t>
      </w:r>
    </w:p>
    <w:p w14:paraId="195636FA" w14:textId="01977073" w:rsidR="00C646F4" w:rsidRPr="004E0CFB" w:rsidRDefault="00C646F4" w:rsidP="00424BD1">
      <w:pPr>
        <w:widowControl/>
        <w:spacing w:before="120" w:after="120"/>
        <w:rPr>
          <w:szCs w:val="22"/>
        </w:rPr>
      </w:pPr>
      <w:r w:rsidRPr="004E0CFB">
        <w:rPr>
          <w:szCs w:val="22"/>
        </w:rPr>
        <w:t>Clause 17 provides for claims made in relation to the tonicity of electrolyte drinks and electrolyte drink bases. These requirements were previously in clause 8 of Standard 2.6.4 and remain unchanged.</w:t>
      </w:r>
    </w:p>
    <w:p w14:paraId="195636FC" w14:textId="77777777" w:rsidR="00C646F4" w:rsidRPr="004E0CFB" w:rsidRDefault="00C646F4" w:rsidP="00424BD1">
      <w:pPr>
        <w:widowControl/>
        <w:spacing w:before="120" w:after="120"/>
      </w:pPr>
      <w:r w:rsidRPr="004E0CFB">
        <w:t xml:space="preserve">Subitem [4.9] updates the Table of Provisions in Standard 2.9.4 to reflect the amendments made to that Standard. </w:t>
      </w:r>
    </w:p>
    <w:sectPr w:rsidR="00C646F4" w:rsidRPr="004E0CFB" w:rsidSect="00386947">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7BEF0" w14:textId="77777777" w:rsidR="00F74F8E" w:rsidRDefault="00F74F8E">
      <w:r>
        <w:separator/>
      </w:r>
    </w:p>
  </w:endnote>
  <w:endnote w:type="continuationSeparator" w:id="0">
    <w:p w14:paraId="2286C87A" w14:textId="77777777" w:rsidR="00F74F8E" w:rsidRDefault="00F74F8E">
      <w:r>
        <w:continuationSeparator/>
      </w:r>
    </w:p>
  </w:endnote>
  <w:endnote w:type="continuationNotice" w:id="1">
    <w:p w14:paraId="67FAEECF" w14:textId="77777777" w:rsidR="00F74F8E" w:rsidRDefault="00F74F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63706" w14:textId="07C53346" w:rsidR="00F74F8E" w:rsidRDefault="00F74F8E" w:rsidP="00A77525">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19563707" w14:textId="77777777" w:rsidR="00F74F8E" w:rsidRDefault="00F74F8E" w:rsidP="00B229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63708" w14:textId="766BDCA0" w:rsidR="00F74F8E" w:rsidRDefault="00F74F8E"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2DD8">
      <w:rPr>
        <w:rStyle w:val="PageNumber"/>
        <w:noProof/>
      </w:rPr>
      <w:t>i</w:t>
    </w:r>
    <w:r>
      <w:rPr>
        <w:rStyle w:val="PageNumber"/>
      </w:rPr>
      <w:fldChar w:fldCharType="end"/>
    </w:r>
  </w:p>
  <w:p w14:paraId="19563709" w14:textId="77777777" w:rsidR="00F74F8E" w:rsidRDefault="00F74F8E" w:rsidP="00B229A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ED515" w14:textId="77777777" w:rsidR="00F74F8E" w:rsidRDefault="00F74F8E">
      <w:r>
        <w:separator/>
      </w:r>
    </w:p>
  </w:footnote>
  <w:footnote w:type="continuationSeparator" w:id="0">
    <w:p w14:paraId="3864B7CD" w14:textId="77777777" w:rsidR="00F74F8E" w:rsidRDefault="00F74F8E">
      <w:r>
        <w:continuationSeparator/>
      </w:r>
    </w:p>
  </w:footnote>
  <w:footnote w:type="continuationNotice" w:id="1">
    <w:p w14:paraId="1B0CDBA7" w14:textId="77777777" w:rsidR="00F74F8E" w:rsidRDefault="00F74F8E"/>
  </w:footnote>
  <w:footnote w:id="2">
    <w:p w14:paraId="62C0189B" w14:textId="6558F5CD" w:rsidR="00F74F8E" w:rsidRPr="00F30226" w:rsidRDefault="00F74F8E">
      <w:pPr>
        <w:pStyle w:val="FootnoteText"/>
        <w:rPr>
          <w:lang w:val="en-AU"/>
        </w:rPr>
      </w:pPr>
      <w:r w:rsidRPr="00965DE2">
        <w:rPr>
          <w:rStyle w:val="FootnoteReference"/>
          <w:sz w:val="16"/>
        </w:rPr>
        <w:footnoteRef/>
      </w:r>
      <w:r w:rsidRPr="00965DE2">
        <w:rPr>
          <w:sz w:val="16"/>
        </w:rPr>
        <w:t xml:space="preserve"> An electrolyte drink base is defined in subsection 1.1.2—3(2) of the Code as a solid or liquid which when made up, makes an electrolyte drink. Electrolyte drinks and electrolyte drink bases are collectively referred to as ‘electrolyte drinks’ in this Consultation paper unless stated otherwise. </w:t>
      </w:r>
    </w:p>
  </w:footnote>
  <w:footnote w:id="3">
    <w:p w14:paraId="0B27734E" w14:textId="20DAB1BC" w:rsidR="00F74F8E" w:rsidRPr="00965DE2" w:rsidRDefault="00F74F8E">
      <w:pPr>
        <w:pStyle w:val="FootnoteText"/>
        <w:rPr>
          <w:sz w:val="16"/>
        </w:rPr>
      </w:pPr>
      <w:r w:rsidRPr="00965DE2">
        <w:rPr>
          <w:rStyle w:val="FootnoteReference"/>
          <w:sz w:val="16"/>
        </w:rPr>
        <w:footnoteRef/>
      </w:r>
      <w:r w:rsidRPr="00965DE2">
        <w:rPr>
          <w:sz w:val="16"/>
        </w:rPr>
        <w:t xml:space="preserve"> An electrolyte drink base is defined as a solid or liquid which when made up, makes an electrolyte drink. Electrolyte drinks and electrolyte drink bases are collectively referred to as ‘electrolyte drinks’ in this Consultation paper unless stated otherwise.</w:t>
      </w:r>
    </w:p>
  </w:footnote>
  <w:footnote w:id="4">
    <w:p w14:paraId="17716F67" w14:textId="77777777" w:rsidR="00F74F8E" w:rsidRPr="00965DE2" w:rsidRDefault="00F74F8E" w:rsidP="00C15B60">
      <w:pPr>
        <w:pStyle w:val="FootnoteText"/>
        <w:rPr>
          <w:rFonts w:cs="Arial"/>
          <w:sz w:val="16"/>
          <w:lang w:val="en-AU"/>
        </w:rPr>
      </w:pPr>
      <w:r w:rsidRPr="00965DE2">
        <w:rPr>
          <w:rStyle w:val="FootnoteReference"/>
          <w:rFonts w:cs="Arial"/>
          <w:sz w:val="16"/>
        </w:rPr>
        <w:footnoteRef/>
      </w:r>
      <w:r w:rsidRPr="00965DE2">
        <w:rPr>
          <w:rFonts w:cs="Arial"/>
          <w:sz w:val="16"/>
        </w:rPr>
        <w:t xml:space="preserve"> </w:t>
      </w:r>
      <w:hyperlink r:id="rId1" w:history="1">
        <w:r w:rsidRPr="00965DE2">
          <w:rPr>
            <w:rStyle w:val="Hyperlink"/>
            <w:rFonts w:cs="Arial"/>
            <w:sz w:val="16"/>
          </w:rPr>
          <w:t>https://foodregulation.gov.au/internet/fr/publishing.nsf/Content/sport-sup-action-plan</w:t>
        </w:r>
      </w:hyperlink>
    </w:p>
  </w:footnote>
  <w:footnote w:id="5">
    <w:p w14:paraId="75CB76B7" w14:textId="77777777" w:rsidR="00F74F8E" w:rsidRPr="00605D32" w:rsidRDefault="00F74F8E" w:rsidP="00C15B60">
      <w:pPr>
        <w:pStyle w:val="FootnoteText"/>
        <w:rPr>
          <w:rFonts w:cs="Arial"/>
          <w:lang w:val="en-AU"/>
        </w:rPr>
      </w:pPr>
      <w:r w:rsidRPr="00965DE2">
        <w:rPr>
          <w:rStyle w:val="FootnoteReference"/>
          <w:rFonts w:cs="Arial"/>
          <w:sz w:val="16"/>
        </w:rPr>
        <w:footnoteRef/>
      </w:r>
      <w:r w:rsidRPr="00965DE2">
        <w:rPr>
          <w:rFonts w:cs="Arial"/>
          <w:sz w:val="16"/>
        </w:rPr>
        <w:t xml:space="preserve"> </w:t>
      </w:r>
      <w:hyperlink r:id="rId2" w:history="1">
        <w:r w:rsidRPr="00965DE2">
          <w:rPr>
            <w:rStyle w:val="Hyperlink"/>
            <w:rFonts w:cs="Arial"/>
            <w:sz w:val="16"/>
          </w:rPr>
          <w:t>https://www.foodstandards.gov.au/code/proposals/Pages/P1010.aspx</w:t>
        </w:r>
      </w:hyperlink>
    </w:p>
  </w:footnote>
  <w:footnote w:id="6">
    <w:p w14:paraId="0083681A" w14:textId="00E1413B" w:rsidR="00F74F8E" w:rsidRPr="00965DE2" w:rsidRDefault="00F74F8E">
      <w:pPr>
        <w:pStyle w:val="FootnoteText"/>
        <w:rPr>
          <w:sz w:val="16"/>
          <w:szCs w:val="16"/>
          <w:lang w:val="en-AU"/>
        </w:rPr>
      </w:pPr>
      <w:r w:rsidRPr="00965DE2">
        <w:rPr>
          <w:rStyle w:val="FootnoteReference"/>
          <w:sz w:val="16"/>
          <w:szCs w:val="16"/>
        </w:rPr>
        <w:footnoteRef/>
      </w:r>
      <w:r w:rsidRPr="00965DE2">
        <w:rPr>
          <w:sz w:val="16"/>
          <w:szCs w:val="16"/>
        </w:rPr>
        <w:t xml:space="preserve"> Formerly the Australia and New Zealand Forum on Food Regulation (the Forum)</w:t>
      </w:r>
    </w:p>
  </w:footnote>
  <w:footnote w:id="7">
    <w:p w14:paraId="6CD1DA13" w14:textId="5C90364B" w:rsidR="00F74F8E" w:rsidRPr="00965DE2" w:rsidRDefault="00F74F8E">
      <w:pPr>
        <w:pStyle w:val="FootnoteText"/>
        <w:rPr>
          <w:sz w:val="16"/>
          <w:lang w:val="en-AU"/>
        </w:rPr>
      </w:pPr>
      <w:r w:rsidRPr="00965DE2">
        <w:rPr>
          <w:rStyle w:val="FootnoteReference"/>
          <w:sz w:val="16"/>
        </w:rPr>
        <w:footnoteRef/>
      </w:r>
      <w:r w:rsidRPr="00965DE2">
        <w:rPr>
          <w:sz w:val="16"/>
        </w:rPr>
        <w:t xml:space="preserve"> </w:t>
      </w:r>
      <w:hyperlink r:id="rId3" w:history="1">
        <w:r w:rsidRPr="00965DE2">
          <w:rPr>
            <w:rStyle w:val="Hyperlink"/>
            <w:rFonts w:cs="Arial"/>
            <w:sz w:val="16"/>
            <w:lang w:val="en-AU" w:bidi="ar-SA"/>
          </w:rPr>
          <w:t>http://onlinelibrary.wiley.com/doi/10.2903/sp.efsa.2015.EN-871/epdf</w:t>
        </w:r>
      </w:hyperlink>
    </w:p>
  </w:footnote>
  <w:footnote w:id="8">
    <w:p w14:paraId="75EED861" w14:textId="237FCE7D" w:rsidR="00F74F8E" w:rsidRPr="00605D32" w:rsidRDefault="00F42DD8">
      <w:pPr>
        <w:pStyle w:val="FootnoteText"/>
        <w:rPr>
          <w:lang w:val="en-AU"/>
        </w:rPr>
      </w:pPr>
      <w:hyperlink w:anchor=" http://journals.lww.com/acsm-msse/Fulltext/2007/02000/Exercise_and_Fluid_Replacement.22.aspx" w:history="1">
        <w:r w:rsidR="00F74F8E" w:rsidRPr="00965DE2">
          <w:rPr>
            <w:rStyle w:val="Hyperlink"/>
            <w:sz w:val="16"/>
            <w:vertAlign w:val="superscript"/>
          </w:rPr>
          <w:footnoteRef/>
        </w:r>
        <w:r w:rsidR="00F74F8E" w:rsidRPr="00965DE2">
          <w:rPr>
            <w:rStyle w:val="Hyperlink"/>
            <w:sz w:val="16"/>
            <w:vertAlign w:val="superscript"/>
          </w:rPr>
          <w:t xml:space="preserve"> </w:t>
        </w:r>
        <w:r w:rsidR="00F74F8E" w:rsidRPr="00965DE2">
          <w:rPr>
            <w:rStyle w:val="Hyperlink"/>
            <w:sz w:val="16"/>
          </w:rPr>
          <w:t>http://journals.lww.com/acsm-msse/Fulltext/2007/02000/Exercise_and_Fluid_Replacement.22.aspx</w:t>
        </w:r>
      </w:hyperlink>
    </w:p>
  </w:footnote>
  <w:footnote w:id="9">
    <w:p w14:paraId="2FF65D6F" w14:textId="38AAA639" w:rsidR="00F74F8E" w:rsidRPr="00965DE2" w:rsidRDefault="00F74F8E">
      <w:pPr>
        <w:pStyle w:val="FootnoteText"/>
        <w:rPr>
          <w:lang w:val="en-AU"/>
        </w:rPr>
      </w:pPr>
      <w:r w:rsidRPr="00965DE2">
        <w:rPr>
          <w:rStyle w:val="FootnoteReference"/>
          <w:sz w:val="16"/>
        </w:rPr>
        <w:footnoteRef/>
      </w:r>
      <w:r w:rsidRPr="00965DE2">
        <w:rPr>
          <w:sz w:val="16"/>
        </w:rPr>
        <w:t xml:space="preserve"> </w:t>
      </w:r>
      <w:hyperlink r:id="rId4" w:history="1">
        <w:r w:rsidR="00965DE2" w:rsidRPr="00207D24">
          <w:rPr>
            <w:rStyle w:val="Hyperlink"/>
            <w:sz w:val="16"/>
          </w:rPr>
          <w:t>https://www.foodstandards.gov.au/publications/Pages/Consumer-research-investigating-the-use-of-sports-foods.aspx</w:t>
        </w:r>
      </w:hyperlink>
      <w:r w:rsidR="00965DE2">
        <w:rPr>
          <w:sz w:val="16"/>
        </w:rPr>
        <w:t xml:space="preserve"> </w:t>
      </w:r>
    </w:p>
  </w:footnote>
  <w:footnote w:id="10">
    <w:p w14:paraId="52781470" w14:textId="1C4895DF" w:rsidR="00F74F8E" w:rsidRPr="004131E2" w:rsidRDefault="00F74F8E">
      <w:pPr>
        <w:pStyle w:val="FootnoteText"/>
        <w:rPr>
          <w:lang w:val="en-AU"/>
        </w:rPr>
      </w:pPr>
      <w:r w:rsidRPr="00965DE2">
        <w:rPr>
          <w:rStyle w:val="FootnoteReference"/>
          <w:sz w:val="16"/>
        </w:rPr>
        <w:footnoteRef/>
      </w:r>
      <w:r w:rsidRPr="00965DE2">
        <w:rPr>
          <w:sz w:val="16"/>
        </w:rPr>
        <w:t xml:space="preserve"> </w:t>
      </w:r>
      <w:hyperlink r:id="rId5" w:history="1">
        <w:r w:rsidRPr="00965DE2">
          <w:rPr>
            <w:rStyle w:val="Hyperlink"/>
            <w:sz w:val="16"/>
          </w:rPr>
          <w:t>https://foodregulation.gov.au/internet/fr/publishing.nsf/Content/publication-Policy-Guideline-on-Nutrition-Health-and-Related-Claims</w:t>
        </w:r>
      </w:hyperlink>
    </w:p>
  </w:footnote>
  <w:footnote w:id="11">
    <w:p w14:paraId="1AFDA623" w14:textId="47813A66" w:rsidR="00F74F8E" w:rsidRPr="00605D32" w:rsidRDefault="00F74F8E" w:rsidP="00DA53E5">
      <w:pPr>
        <w:pStyle w:val="FootnoteText"/>
        <w:rPr>
          <w:lang w:val="en-AU"/>
        </w:rPr>
      </w:pPr>
      <w:r w:rsidRPr="00965DE2">
        <w:rPr>
          <w:rStyle w:val="FootnoteReference"/>
          <w:sz w:val="16"/>
        </w:rPr>
        <w:footnoteRef/>
      </w:r>
      <w:r w:rsidRPr="00965DE2">
        <w:rPr>
          <w:sz w:val="16"/>
        </w:rPr>
        <w:t xml:space="preserve"> </w:t>
      </w:r>
      <w:hyperlink r:id="rId6" w:history="1">
        <w:r w:rsidRPr="00965DE2">
          <w:rPr>
            <w:rStyle w:val="Hyperlink"/>
            <w:sz w:val="16"/>
          </w:rPr>
          <w:t>https://www.foodstandards.gov.au/industry/labelling/Pages/Outcomes-from-consideration-of-European-Union-authorised-health-claims.aspx</w:t>
        </w:r>
      </w:hyperlink>
    </w:p>
  </w:footnote>
  <w:footnote w:id="12">
    <w:p w14:paraId="2C8D6583" w14:textId="74155B24" w:rsidR="00F74F8E" w:rsidRPr="006E5939" w:rsidRDefault="00F74F8E" w:rsidP="004B09AE">
      <w:pPr>
        <w:pStyle w:val="FootnoteText"/>
        <w:rPr>
          <w:lang w:val="en-AU"/>
        </w:rPr>
      </w:pPr>
      <w:r w:rsidRPr="006E5939">
        <w:rPr>
          <w:rStyle w:val="FootnoteReference"/>
        </w:rPr>
        <w:footnoteRef/>
      </w:r>
      <w:r w:rsidRPr="006E5939">
        <w:rPr>
          <w:lang w:val="en-AU"/>
        </w:rPr>
        <w:t xml:space="preserve"> </w:t>
      </w:r>
      <w:hyperlink r:id="rId7" w:history="1">
        <w:r w:rsidRPr="006E5939">
          <w:rPr>
            <w:rStyle w:val="Hyperlink"/>
            <w:rFonts w:cs="Arial"/>
            <w:color w:val="auto"/>
          </w:rPr>
          <w:t>https://efsa.onlinelibrary.wiley.com/doi/pdf/10.2903/j.efsa.2011.2211</w:t>
        </w:r>
      </w:hyperlink>
      <w:r w:rsidRPr="006E5939">
        <w:rPr>
          <w:rFonts w:cs="Arial"/>
        </w:rPr>
        <w:t>.</w:t>
      </w:r>
    </w:p>
  </w:footnote>
  <w:footnote w:id="13">
    <w:p w14:paraId="7A957499" w14:textId="77777777" w:rsidR="00F74F8E" w:rsidRPr="00965DE2" w:rsidRDefault="00F74F8E" w:rsidP="0056363A">
      <w:pPr>
        <w:pStyle w:val="doc-ti"/>
        <w:shd w:val="clear" w:color="auto" w:fill="FFFFFF"/>
        <w:jc w:val="left"/>
        <w:rPr>
          <w:rFonts w:ascii="Arial" w:hAnsi="Arial" w:cs="Arial"/>
          <w:sz w:val="16"/>
          <w:szCs w:val="16"/>
          <w:lang w:val="en-AU"/>
        </w:rPr>
      </w:pPr>
      <w:r w:rsidRPr="00965DE2">
        <w:rPr>
          <w:rStyle w:val="FootnoteReference"/>
          <w:rFonts w:ascii="Arial" w:hAnsi="Arial" w:cs="Arial"/>
          <w:b w:val="0"/>
          <w:sz w:val="16"/>
          <w:szCs w:val="16"/>
        </w:rPr>
        <w:footnoteRef/>
      </w:r>
      <w:r w:rsidRPr="00965DE2">
        <w:rPr>
          <w:rFonts w:ascii="Arial" w:hAnsi="Arial" w:cs="Arial"/>
          <w:b w:val="0"/>
          <w:sz w:val="16"/>
          <w:szCs w:val="16"/>
        </w:rPr>
        <w:t xml:space="preserve"> </w:t>
      </w:r>
      <w:r w:rsidRPr="00965DE2">
        <w:rPr>
          <w:rFonts w:ascii="Arial" w:hAnsi="Arial" w:cs="Arial"/>
          <w:b w:val="0"/>
          <w:color w:val="000000"/>
          <w:sz w:val="16"/>
          <w:szCs w:val="16"/>
        </w:rPr>
        <w:t>COMMISSION REGULATION (EU) No 432/2012 ,16 May 2012 establishing a list of permitted health claims made on foods, other than those referring to the reduction of disease risk and to children’s development and health. Annex, List of Permitted Health Claims</w:t>
      </w:r>
      <w:r w:rsidRPr="00965DE2">
        <w:rPr>
          <w:rFonts w:ascii="Arial" w:hAnsi="Arial" w:cs="Arial"/>
          <w:b w:val="0"/>
          <w:color w:val="000000"/>
          <w:sz w:val="16"/>
          <w:szCs w:val="16"/>
        </w:rPr>
        <w:br/>
      </w:r>
      <w:hyperlink r:id="rId8" w:anchor="d1e32-4-1" w:history="1">
        <w:r w:rsidRPr="00965DE2">
          <w:rPr>
            <w:rStyle w:val="Hyperlink"/>
            <w:rFonts w:cs="Arial"/>
            <w:b w:val="0"/>
            <w:sz w:val="16"/>
            <w:szCs w:val="16"/>
          </w:rPr>
          <w:t>https://eur-lex.europa.eu/legal-content/EN/TXT/HTML/?uri=CELEX:32012R0432&amp;from=EN#d1e32-4-1</w:t>
        </w:r>
      </w:hyperlink>
    </w:p>
  </w:footnote>
  <w:footnote w:id="14">
    <w:p w14:paraId="47F15043" w14:textId="690E59AB" w:rsidR="00F74F8E" w:rsidRPr="0056363A" w:rsidRDefault="00F74F8E" w:rsidP="00FF6CE6">
      <w:pPr>
        <w:pStyle w:val="FSBullet"/>
        <w:numPr>
          <w:ilvl w:val="0"/>
          <w:numId w:val="0"/>
        </w:numPr>
        <w:rPr>
          <w:sz w:val="20"/>
          <w:szCs w:val="20"/>
          <w:lang w:val="en-AU"/>
        </w:rPr>
      </w:pPr>
      <w:r w:rsidRPr="00965DE2">
        <w:rPr>
          <w:rStyle w:val="FootnoteReference"/>
          <w:sz w:val="16"/>
          <w:szCs w:val="16"/>
        </w:rPr>
        <w:footnoteRef/>
      </w:r>
      <w:r w:rsidRPr="00965DE2">
        <w:rPr>
          <w:sz w:val="16"/>
          <w:szCs w:val="16"/>
        </w:rPr>
        <w:t xml:space="preserve"> the consumption of carbohydrate solutions and the improvement of physical performance during high-intensity and long-lasting physical exercise for the target population of healthy trained adults performing high-intensity (at least at 65% of the VO2max) and long-lasting (at least 60 min) physical exercise. </w:t>
      </w:r>
      <w:hyperlink r:id="rId9" w:history="1">
        <w:r w:rsidRPr="00965DE2">
          <w:rPr>
            <w:rStyle w:val="Hyperlink"/>
            <w:sz w:val="16"/>
            <w:szCs w:val="16"/>
          </w:rPr>
          <w:t>http://www.puntofocal.gov.ar/notific_otros_miembros/eu723_t.pdf</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6370A" w14:textId="11C047E3" w:rsidR="00F74F8E" w:rsidRDefault="00F74F8E">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536"/>
    <w:multiLevelType w:val="hybridMultilevel"/>
    <w:tmpl w:val="568C9862"/>
    <w:lvl w:ilvl="0" w:tplc="08090001">
      <w:start w:val="1"/>
      <w:numFmt w:val="bullet"/>
      <w:lvlText w:val=""/>
      <w:lvlJc w:val="left"/>
      <w:pPr>
        <w:ind w:left="1285" w:hanging="360"/>
      </w:pPr>
      <w:rPr>
        <w:rFonts w:ascii="Symbol" w:hAnsi="Symbol" w:hint="default"/>
      </w:rPr>
    </w:lvl>
    <w:lvl w:ilvl="1" w:tplc="08090003" w:tentative="1">
      <w:start w:val="1"/>
      <w:numFmt w:val="bullet"/>
      <w:lvlText w:val="o"/>
      <w:lvlJc w:val="left"/>
      <w:pPr>
        <w:ind w:left="2005" w:hanging="360"/>
      </w:pPr>
      <w:rPr>
        <w:rFonts w:ascii="Courier New" w:hAnsi="Courier New" w:cs="Courier New" w:hint="default"/>
      </w:rPr>
    </w:lvl>
    <w:lvl w:ilvl="2" w:tplc="08090005" w:tentative="1">
      <w:start w:val="1"/>
      <w:numFmt w:val="bullet"/>
      <w:lvlText w:val=""/>
      <w:lvlJc w:val="left"/>
      <w:pPr>
        <w:ind w:left="2725" w:hanging="360"/>
      </w:pPr>
      <w:rPr>
        <w:rFonts w:ascii="Wingdings" w:hAnsi="Wingdings" w:hint="default"/>
      </w:rPr>
    </w:lvl>
    <w:lvl w:ilvl="3" w:tplc="08090001" w:tentative="1">
      <w:start w:val="1"/>
      <w:numFmt w:val="bullet"/>
      <w:lvlText w:val=""/>
      <w:lvlJc w:val="left"/>
      <w:pPr>
        <w:ind w:left="3445" w:hanging="360"/>
      </w:pPr>
      <w:rPr>
        <w:rFonts w:ascii="Symbol" w:hAnsi="Symbol" w:hint="default"/>
      </w:rPr>
    </w:lvl>
    <w:lvl w:ilvl="4" w:tplc="08090003" w:tentative="1">
      <w:start w:val="1"/>
      <w:numFmt w:val="bullet"/>
      <w:lvlText w:val="o"/>
      <w:lvlJc w:val="left"/>
      <w:pPr>
        <w:ind w:left="4165" w:hanging="360"/>
      </w:pPr>
      <w:rPr>
        <w:rFonts w:ascii="Courier New" w:hAnsi="Courier New" w:cs="Courier New" w:hint="default"/>
      </w:rPr>
    </w:lvl>
    <w:lvl w:ilvl="5" w:tplc="08090005" w:tentative="1">
      <w:start w:val="1"/>
      <w:numFmt w:val="bullet"/>
      <w:lvlText w:val=""/>
      <w:lvlJc w:val="left"/>
      <w:pPr>
        <w:ind w:left="4885" w:hanging="360"/>
      </w:pPr>
      <w:rPr>
        <w:rFonts w:ascii="Wingdings" w:hAnsi="Wingdings" w:hint="default"/>
      </w:rPr>
    </w:lvl>
    <w:lvl w:ilvl="6" w:tplc="08090001" w:tentative="1">
      <w:start w:val="1"/>
      <w:numFmt w:val="bullet"/>
      <w:lvlText w:val=""/>
      <w:lvlJc w:val="left"/>
      <w:pPr>
        <w:ind w:left="5605" w:hanging="360"/>
      </w:pPr>
      <w:rPr>
        <w:rFonts w:ascii="Symbol" w:hAnsi="Symbol" w:hint="default"/>
      </w:rPr>
    </w:lvl>
    <w:lvl w:ilvl="7" w:tplc="08090003" w:tentative="1">
      <w:start w:val="1"/>
      <w:numFmt w:val="bullet"/>
      <w:lvlText w:val="o"/>
      <w:lvlJc w:val="left"/>
      <w:pPr>
        <w:ind w:left="6325" w:hanging="360"/>
      </w:pPr>
      <w:rPr>
        <w:rFonts w:ascii="Courier New" w:hAnsi="Courier New" w:cs="Courier New" w:hint="default"/>
      </w:rPr>
    </w:lvl>
    <w:lvl w:ilvl="8" w:tplc="08090005" w:tentative="1">
      <w:start w:val="1"/>
      <w:numFmt w:val="bullet"/>
      <w:lvlText w:val=""/>
      <w:lvlJc w:val="left"/>
      <w:pPr>
        <w:ind w:left="7045" w:hanging="360"/>
      </w:pPr>
      <w:rPr>
        <w:rFonts w:ascii="Wingdings" w:hAnsi="Wingdings" w:hint="default"/>
      </w:rPr>
    </w:lvl>
  </w:abstractNum>
  <w:abstractNum w:abstractNumId="1" w15:restartNumberingAfterBreak="0">
    <w:nsid w:val="0109740C"/>
    <w:multiLevelType w:val="hybridMultilevel"/>
    <w:tmpl w:val="7F06A2A6"/>
    <w:lvl w:ilvl="0" w:tplc="FA6A582C">
      <w:start w:val="1"/>
      <w:numFmt w:val="bullet"/>
      <w:pStyle w:val="FSBullet2"/>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 w15:restartNumberingAfterBreak="0">
    <w:nsid w:val="012816C3"/>
    <w:multiLevelType w:val="hybridMultilevel"/>
    <w:tmpl w:val="612A0FD2"/>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40544A"/>
    <w:multiLevelType w:val="hybridMultilevel"/>
    <w:tmpl w:val="E1146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4044168"/>
    <w:multiLevelType w:val="hybridMultilevel"/>
    <w:tmpl w:val="1F7AD420"/>
    <w:lvl w:ilvl="0" w:tplc="0C4AB4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6C4CCB"/>
    <w:multiLevelType w:val="hybridMultilevel"/>
    <w:tmpl w:val="81749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703E7C"/>
    <w:multiLevelType w:val="hybridMultilevel"/>
    <w:tmpl w:val="D1F2B982"/>
    <w:lvl w:ilvl="0" w:tplc="9032756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33D5204"/>
    <w:multiLevelType w:val="hybridMultilevel"/>
    <w:tmpl w:val="37CE34A8"/>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8" w15:restartNumberingAfterBreak="0">
    <w:nsid w:val="18635189"/>
    <w:multiLevelType w:val="hybridMultilevel"/>
    <w:tmpl w:val="9FE6C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7B54C3"/>
    <w:multiLevelType w:val="hybridMultilevel"/>
    <w:tmpl w:val="E8583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8F49C7"/>
    <w:multiLevelType w:val="hybridMultilevel"/>
    <w:tmpl w:val="2690C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8D6B1E"/>
    <w:multiLevelType w:val="hybridMultilevel"/>
    <w:tmpl w:val="7764D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E17E0B"/>
    <w:multiLevelType w:val="hybridMultilevel"/>
    <w:tmpl w:val="9D3467D6"/>
    <w:lvl w:ilvl="0" w:tplc="9032756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B1A30A8"/>
    <w:multiLevelType w:val="hybridMultilevel"/>
    <w:tmpl w:val="C0040DAE"/>
    <w:lvl w:ilvl="0" w:tplc="68D297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8750D"/>
    <w:multiLevelType w:val="hybridMultilevel"/>
    <w:tmpl w:val="1D9AE9C4"/>
    <w:lvl w:ilvl="0" w:tplc="9E60682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98D2570"/>
    <w:multiLevelType w:val="hybridMultilevel"/>
    <w:tmpl w:val="AF282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AF7884"/>
    <w:multiLevelType w:val="hybridMultilevel"/>
    <w:tmpl w:val="7ABE70D0"/>
    <w:lvl w:ilvl="0" w:tplc="9032756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CBD36CE"/>
    <w:multiLevelType w:val="hybridMultilevel"/>
    <w:tmpl w:val="6F522076"/>
    <w:lvl w:ilvl="0" w:tplc="D8E41C72">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673384"/>
    <w:multiLevelType w:val="hybridMultilevel"/>
    <w:tmpl w:val="18E20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EF60AD"/>
    <w:multiLevelType w:val="hybridMultilevel"/>
    <w:tmpl w:val="24D44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8F4D84"/>
    <w:multiLevelType w:val="hybridMultilevel"/>
    <w:tmpl w:val="FCCA9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3BA4D7B"/>
    <w:multiLevelType w:val="hybridMultilevel"/>
    <w:tmpl w:val="BD109B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F0870E2"/>
    <w:multiLevelType w:val="hybridMultilevel"/>
    <w:tmpl w:val="AE581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094F75"/>
    <w:multiLevelType w:val="hybridMultilevel"/>
    <w:tmpl w:val="0D667310"/>
    <w:lvl w:ilvl="0" w:tplc="08090001">
      <w:start w:val="1"/>
      <w:numFmt w:val="bullet"/>
      <w:lvlText w:val=""/>
      <w:lvlJc w:val="left"/>
      <w:pPr>
        <w:ind w:left="-708" w:hanging="360"/>
      </w:pPr>
      <w:rPr>
        <w:rFonts w:ascii="Symbol" w:hAnsi="Symbol" w:hint="default"/>
      </w:rPr>
    </w:lvl>
    <w:lvl w:ilvl="1" w:tplc="08090003">
      <w:start w:val="1"/>
      <w:numFmt w:val="bullet"/>
      <w:lvlText w:val="o"/>
      <w:lvlJc w:val="left"/>
      <w:pPr>
        <w:ind w:left="12" w:hanging="360"/>
      </w:pPr>
      <w:rPr>
        <w:rFonts w:ascii="Courier New" w:hAnsi="Courier New" w:cs="Courier New" w:hint="default"/>
      </w:rPr>
    </w:lvl>
    <w:lvl w:ilvl="2" w:tplc="08090005">
      <w:start w:val="1"/>
      <w:numFmt w:val="bullet"/>
      <w:lvlText w:val=""/>
      <w:lvlJc w:val="left"/>
      <w:pPr>
        <w:ind w:left="732" w:hanging="360"/>
      </w:pPr>
      <w:rPr>
        <w:rFonts w:ascii="Wingdings" w:hAnsi="Wingdings" w:hint="default"/>
      </w:rPr>
    </w:lvl>
    <w:lvl w:ilvl="3" w:tplc="08090001">
      <w:start w:val="1"/>
      <w:numFmt w:val="bullet"/>
      <w:lvlText w:val=""/>
      <w:lvlJc w:val="left"/>
      <w:pPr>
        <w:ind w:left="1452" w:hanging="360"/>
      </w:pPr>
      <w:rPr>
        <w:rFonts w:ascii="Symbol" w:hAnsi="Symbol" w:hint="default"/>
      </w:rPr>
    </w:lvl>
    <w:lvl w:ilvl="4" w:tplc="08090003">
      <w:start w:val="1"/>
      <w:numFmt w:val="bullet"/>
      <w:lvlText w:val="o"/>
      <w:lvlJc w:val="left"/>
      <w:pPr>
        <w:ind w:left="2172" w:hanging="360"/>
      </w:pPr>
      <w:rPr>
        <w:rFonts w:ascii="Courier New" w:hAnsi="Courier New" w:cs="Courier New" w:hint="default"/>
      </w:rPr>
    </w:lvl>
    <w:lvl w:ilvl="5" w:tplc="08090005">
      <w:start w:val="1"/>
      <w:numFmt w:val="bullet"/>
      <w:lvlText w:val=""/>
      <w:lvlJc w:val="left"/>
      <w:pPr>
        <w:ind w:left="2892" w:hanging="360"/>
      </w:pPr>
      <w:rPr>
        <w:rFonts w:ascii="Wingdings" w:hAnsi="Wingdings" w:hint="default"/>
      </w:rPr>
    </w:lvl>
    <w:lvl w:ilvl="6" w:tplc="08090001">
      <w:start w:val="1"/>
      <w:numFmt w:val="bullet"/>
      <w:lvlText w:val=""/>
      <w:lvlJc w:val="left"/>
      <w:pPr>
        <w:ind w:left="3612" w:hanging="360"/>
      </w:pPr>
      <w:rPr>
        <w:rFonts w:ascii="Symbol" w:hAnsi="Symbol" w:hint="default"/>
      </w:rPr>
    </w:lvl>
    <w:lvl w:ilvl="7" w:tplc="08090003">
      <w:start w:val="1"/>
      <w:numFmt w:val="bullet"/>
      <w:lvlText w:val="o"/>
      <w:lvlJc w:val="left"/>
      <w:pPr>
        <w:ind w:left="4332" w:hanging="360"/>
      </w:pPr>
      <w:rPr>
        <w:rFonts w:ascii="Courier New" w:hAnsi="Courier New" w:cs="Courier New" w:hint="default"/>
      </w:rPr>
    </w:lvl>
    <w:lvl w:ilvl="8" w:tplc="08090005">
      <w:start w:val="1"/>
      <w:numFmt w:val="bullet"/>
      <w:lvlText w:val=""/>
      <w:lvlJc w:val="left"/>
      <w:pPr>
        <w:ind w:left="5052" w:hanging="360"/>
      </w:pPr>
      <w:rPr>
        <w:rFonts w:ascii="Wingdings" w:hAnsi="Wingdings" w:hint="default"/>
      </w:rPr>
    </w:lvl>
  </w:abstractNum>
  <w:abstractNum w:abstractNumId="24" w15:restartNumberingAfterBreak="0">
    <w:nsid w:val="638416C2"/>
    <w:multiLevelType w:val="hybridMultilevel"/>
    <w:tmpl w:val="967A4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6" w15:restartNumberingAfterBreak="0">
    <w:nsid w:val="66DB1A00"/>
    <w:multiLevelType w:val="hybridMultilevel"/>
    <w:tmpl w:val="34B0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C04469"/>
    <w:multiLevelType w:val="hybridMultilevel"/>
    <w:tmpl w:val="6EC88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AB6D31"/>
    <w:multiLevelType w:val="hybridMultilevel"/>
    <w:tmpl w:val="5988380C"/>
    <w:lvl w:ilvl="0" w:tplc="9032756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C7B5D24"/>
    <w:multiLevelType w:val="hybridMultilevel"/>
    <w:tmpl w:val="DD5A5A1C"/>
    <w:lvl w:ilvl="0" w:tplc="9032756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7C9121C2"/>
    <w:multiLevelType w:val="hybridMultilevel"/>
    <w:tmpl w:val="95FC8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E154631"/>
    <w:multiLevelType w:val="hybridMultilevel"/>
    <w:tmpl w:val="F3EC3320"/>
    <w:lvl w:ilvl="0" w:tplc="9032756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7"/>
  </w:num>
  <w:num w:numId="3">
    <w:abstractNumId w:val="1"/>
  </w:num>
  <w:num w:numId="4">
    <w:abstractNumId w:val="25"/>
  </w:num>
  <w:num w:numId="5">
    <w:abstractNumId w:val="20"/>
  </w:num>
  <w:num w:numId="6">
    <w:abstractNumId w:val="23"/>
  </w:num>
  <w:num w:numId="7">
    <w:abstractNumId w:val="4"/>
  </w:num>
  <w:num w:numId="8">
    <w:abstractNumId w:val="3"/>
  </w:num>
  <w:num w:numId="9">
    <w:abstractNumId w:val="24"/>
  </w:num>
  <w:num w:numId="10">
    <w:abstractNumId w:val="27"/>
  </w:num>
  <w:num w:numId="11">
    <w:abstractNumId w:val="0"/>
  </w:num>
  <w:num w:numId="12">
    <w:abstractNumId w:val="6"/>
  </w:num>
  <w:num w:numId="13">
    <w:abstractNumId w:val="11"/>
  </w:num>
  <w:num w:numId="14">
    <w:abstractNumId w:val="9"/>
  </w:num>
  <w:num w:numId="15">
    <w:abstractNumId w:val="16"/>
  </w:num>
  <w:num w:numId="16">
    <w:abstractNumId w:val="22"/>
  </w:num>
  <w:num w:numId="17">
    <w:abstractNumId w:val="19"/>
  </w:num>
  <w:num w:numId="18">
    <w:abstractNumId w:val="28"/>
  </w:num>
  <w:num w:numId="19">
    <w:abstractNumId w:val="29"/>
  </w:num>
  <w:num w:numId="20">
    <w:abstractNumId w:val="15"/>
  </w:num>
  <w:num w:numId="21">
    <w:abstractNumId w:val="5"/>
  </w:num>
  <w:num w:numId="22">
    <w:abstractNumId w:val="12"/>
  </w:num>
  <w:num w:numId="23">
    <w:abstractNumId w:val="21"/>
  </w:num>
  <w:num w:numId="24">
    <w:abstractNumId w:val="7"/>
  </w:num>
  <w:num w:numId="25">
    <w:abstractNumId w:val="8"/>
  </w:num>
  <w:num w:numId="26">
    <w:abstractNumId w:val="31"/>
  </w:num>
  <w:num w:numId="27">
    <w:abstractNumId w:val="10"/>
  </w:num>
  <w:num w:numId="28">
    <w:abstractNumId w:val="13"/>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6"/>
  </w:num>
  <w:num w:numId="3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567"/>
  <w:drawingGridHorizontalSpacing w:val="120"/>
  <w:displayHorizontalDrawingGridEvery w:val="2"/>
  <w:displayVerticalDrawingGridEvery w:val="2"/>
  <w:noPunctuationKerning/>
  <w:characterSpacingControl w:val="doNotCompress"/>
  <w:hdrShapeDefaults>
    <o:shapedefaults v:ext="edit" spidmax="321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024E"/>
    <w:rsid w:val="0000066C"/>
    <w:rsid w:val="00000D30"/>
    <w:rsid w:val="00001CF2"/>
    <w:rsid w:val="00001D60"/>
    <w:rsid w:val="0000247B"/>
    <w:rsid w:val="00002C21"/>
    <w:rsid w:val="000031EC"/>
    <w:rsid w:val="0000469B"/>
    <w:rsid w:val="0000497C"/>
    <w:rsid w:val="00004F22"/>
    <w:rsid w:val="0000648D"/>
    <w:rsid w:val="00006D11"/>
    <w:rsid w:val="00007BAA"/>
    <w:rsid w:val="00007E2E"/>
    <w:rsid w:val="00007F59"/>
    <w:rsid w:val="00010CFD"/>
    <w:rsid w:val="00012EFC"/>
    <w:rsid w:val="0001312F"/>
    <w:rsid w:val="0001349F"/>
    <w:rsid w:val="000153F9"/>
    <w:rsid w:val="00016137"/>
    <w:rsid w:val="00016806"/>
    <w:rsid w:val="00016CB6"/>
    <w:rsid w:val="000175E7"/>
    <w:rsid w:val="000175FD"/>
    <w:rsid w:val="00017CEA"/>
    <w:rsid w:val="0002050F"/>
    <w:rsid w:val="00020DCF"/>
    <w:rsid w:val="000212AE"/>
    <w:rsid w:val="00021980"/>
    <w:rsid w:val="00022DBC"/>
    <w:rsid w:val="000234C4"/>
    <w:rsid w:val="000241F8"/>
    <w:rsid w:val="00027531"/>
    <w:rsid w:val="00027A74"/>
    <w:rsid w:val="00031B61"/>
    <w:rsid w:val="00031F41"/>
    <w:rsid w:val="00032C63"/>
    <w:rsid w:val="000342D2"/>
    <w:rsid w:val="0003453C"/>
    <w:rsid w:val="00034F87"/>
    <w:rsid w:val="0003505C"/>
    <w:rsid w:val="00035FF3"/>
    <w:rsid w:val="00036A8E"/>
    <w:rsid w:val="00037D8E"/>
    <w:rsid w:val="000401DB"/>
    <w:rsid w:val="000407CE"/>
    <w:rsid w:val="000408E6"/>
    <w:rsid w:val="000416EF"/>
    <w:rsid w:val="00041960"/>
    <w:rsid w:val="00041FE3"/>
    <w:rsid w:val="000427B2"/>
    <w:rsid w:val="00042946"/>
    <w:rsid w:val="00043A85"/>
    <w:rsid w:val="00043BC8"/>
    <w:rsid w:val="00043E6B"/>
    <w:rsid w:val="000442AC"/>
    <w:rsid w:val="00044CAF"/>
    <w:rsid w:val="00046B7F"/>
    <w:rsid w:val="000474F5"/>
    <w:rsid w:val="00047C8F"/>
    <w:rsid w:val="00050659"/>
    <w:rsid w:val="00050C32"/>
    <w:rsid w:val="00051021"/>
    <w:rsid w:val="00051ED9"/>
    <w:rsid w:val="0005342D"/>
    <w:rsid w:val="00054511"/>
    <w:rsid w:val="000552BC"/>
    <w:rsid w:val="0005582B"/>
    <w:rsid w:val="00055B05"/>
    <w:rsid w:val="0005689E"/>
    <w:rsid w:val="00057181"/>
    <w:rsid w:val="00060343"/>
    <w:rsid w:val="000610A2"/>
    <w:rsid w:val="00061C50"/>
    <w:rsid w:val="00061E25"/>
    <w:rsid w:val="00061F8A"/>
    <w:rsid w:val="000626B8"/>
    <w:rsid w:val="00062CC1"/>
    <w:rsid w:val="00064B2D"/>
    <w:rsid w:val="00064D42"/>
    <w:rsid w:val="00064DD6"/>
    <w:rsid w:val="00064E05"/>
    <w:rsid w:val="00065A1C"/>
    <w:rsid w:val="00065F1F"/>
    <w:rsid w:val="0006644A"/>
    <w:rsid w:val="0006653F"/>
    <w:rsid w:val="00066995"/>
    <w:rsid w:val="00066A70"/>
    <w:rsid w:val="000678B6"/>
    <w:rsid w:val="00067DCF"/>
    <w:rsid w:val="000739F5"/>
    <w:rsid w:val="00073CB6"/>
    <w:rsid w:val="0007466A"/>
    <w:rsid w:val="00075C5B"/>
    <w:rsid w:val="00076228"/>
    <w:rsid w:val="00076659"/>
    <w:rsid w:val="00076D33"/>
    <w:rsid w:val="00076E21"/>
    <w:rsid w:val="00076FCC"/>
    <w:rsid w:val="00077260"/>
    <w:rsid w:val="000775B2"/>
    <w:rsid w:val="000778D6"/>
    <w:rsid w:val="0008025B"/>
    <w:rsid w:val="00080E1F"/>
    <w:rsid w:val="000817A3"/>
    <w:rsid w:val="000827EC"/>
    <w:rsid w:val="000830C5"/>
    <w:rsid w:val="000837C4"/>
    <w:rsid w:val="0008449E"/>
    <w:rsid w:val="000848D1"/>
    <w:rsid w:val="00084F3D"/>
    <w:rsid w:val="00085FD4"/>
    <w:rsid w:val="000867D4"/>
    <w:rsid w:val="00086885"/>
    <w:rsid w:val="00086F07"/>
    <w:rsid w:val="00087DE0"/>
    <w:rsid w:val="00087EE0"/>
    <w:rsid w:val="00087FE0"/>
    <w:rsid w:val="00090568"/>
    <w:rsid w:val="00090856"/>
    <w:rsid w:val="00091254"/>
    <w:rsid w:val="00091562"/>
    <w:rsid w:val="00091CC2"/>
    <w:rsid w:val="00092506"/>
    <w:rsid w:val="0009262E"/>
    <w:rsid w:val="000926DB"/>
    <w:rsid w:val="000929A4"/>
    <w:rsid w:val="00092FA7"/>
    <w:rsid w:val="00093ED7"/>
    <w:rsid w:val="00094C8B"/>
    <w:rsid w:val="00095836"/>
    <w:rsid w:val="00095D41"/>
    <w:rsid w:val="00095E82"/>
    <w:rsid w:val="00097D2C"/>
    <w:rsid w:val="000A0329"/>
    <w:rsid w:val="000A0789"/>
    <w:rsid w:val="000A09EE"/>
    <w:rsid w:val="000A0AB3"/>
    <w:rsid w:val="000A165C"/>
    <w:rsid w:val="000A2313"/>
    <w:rsid w:val="000A27E9"/>
    <w:rsid w:val="000A27ED"/>
    <w:rsid w:val="000A2D3E"/>
    <w:rsid w:val="000A2FAD"/>
    <w:rsid w:val="000A394A"/>
    <w:rsid w:val="000A3D8B"/>
    <w:rsid w:val="000A4218"/>
    <w:rsid w:val="000A5408"/>
    <w:rsid w:val="000A5BD4"/>
    <w:rsid w:val="000A5DF8"/>
    <w:rsid w:val="000A6CD0"/>
    <w:rsid w:val="000B07B0"/>
    <w:rsid w:val="000B07DA"/>
    <w:rsid w:val="000B2004"/>
    <w:rsid w:val="000B292C"/>
    <w:rsid w:val="000B2DF6"/>
    <w:rsid w:val="000B4E8F"/>
    <w:rsid w:val="000B4FF6"/>
    <w:rsid w:val="000B53E3"/>
    <w:rsid w:val="000B5AAB"/>
    <w:rsid w:val="000B6A4E"/>
    <w:rsid w:val="000B6AF2"/>
    <w:rsid w:val="000B74B8"/>
    <w:rsid w:val="000B7E39"/>
    <w:rsid w:val="000C044C"/>
    <w:rsid w:val="000C04F9"/>
    <w:rsid w:val="000C0775"/>
    <w:rsid w:val="000C080B"/>
    <w:rsid w:val="000C2834"/>
    <w:rsid w:val="000C30C7"/>
    <w:rsid w:val="000C3521"/>
    <w:rsid w:val="000C43C5"/>
    <w:rsid w:val="000C4942"/>
    <w:rsid w:val="000C4CB8"/>
    <w:rsid w:val="000C74D6"/>
    <w:rsid w:val="000C76FB"/>
    <w:rsid w:val="000C7DAA"/>
    <w:rsid w:val="000D0406"/>
    <w:rsid w:val="000D062B"/>
    <w:rsid w:val="000D06D0"/>
    <w:rsid w:val="000D0B86"/>
    <w:rsid w:val="000D116B"/>
    <w:rsid w:val="000D17DC"/>
    <w:rsid w:val="000D270C"/>
    <w:rsid w:val="000D295F"/>
    <w:rsid w:val="000D2D27"/>
    <w:rsid w:val="000D2F7D"/>
    <w:rsid w:val="000D367D"/>
    <w:rsid w:val="000D4089"/>
    <w:rsid w:val="000D4785"/>
    <w:rsid w:val="000D48D3"/>
    <w:rsid w:val="000D4CC2"/>
    <w:rsid w:val="000D504F"/>
    <w:rsid w:val="000D66B2"/>
    <w:rsid w:val="000D6E9A"/>
    <w:rsid w:val="000D6FD4"/>
    <w:rsid w:val="000D7392"/>
    <w:rsid w:val="000D77BC"/>
    <w:rsid w:val="000E047A"/>
    <w:rsid w:val="000E0592"/>
    <w:rsid w:val="000E0651"/>
    <w:rsid w:val="000E0AE4"/>
    <w:rsid w:val="000E15A8"/>
    <w:rsid w:val="000E1998"/>
    <w:rsid w:val="000E1FC8"/>
    <w:rsid w:val="000E3DBC"/>
    <w:rsid w:val="000E4996"/>
    <w:rsid w:val="000E5B2A"/>
    <w:rsid w:val="000E695E"/>
    <w:rsid w:val="000E69F4"/>
    <w:rsid w:val="000E6BD1"/>
    <w:rsid w:val="000E7939"/>
    <w:rsid w:val="000E7E98"/>
    <w:rsid w:val="000F0806"/>
    <w:rsid w:val="000F18B1"/>
    <w:rsid w:val="000F1B55"/>
    <w:rsid w:val="000F3437"/>
    <w:rsid w:val="000F4454"/>
    <w:rsid w:val="000F4DDB"/>
    <w:rsid w:val="000F566B"/>
    <w:rsid w:val="000F731E"/>
    <w:rsid w:val="00100946"/>
    <w:rsid w:val="00102AE7"/>
    <w:rsid w:val="00103103"/>
    <w:rsid w:val="0010364B"/>
    <w:rsid w:val="001046B4"/>
    <w:rsid w:val="00104992"/>
    <w:rsid w:val="00104DBC"/>
    <w:rsid w:val="001058CF"/>
    <w:rsid w:val="00105B82"/>
    <w:rsid w:val="00106359"/>
    <w:rsid w:val="00106370"/>
    <w:rsid w:val="00106A1E"/>
    <w:rsid w:val="00107564"/>
    <w:rsid w:val="001077BB"/>
    <w:rsid w:val="001077BF"/>
    <w:rsid w:val="00107CB3"/>
    <w:rsid w:val="00110615"/>
    <w:rsid w:val="001112F1"/>
    <w:rsid w:val="00112158"/>
    <w:rsid w:val="00112437"/>
    <w:rsid w:val="001124BF"/>
    <w:rsid w:val="00113531"/>
    <w:rsid w:val="00113CE3"/>
    <w:rsid w:val="001154FE"/>
    <w:rsid w:val="00115F6B"/>
    <w:rsid w:val="00116370"/>
    <w:rsid w:val="001170DD"/>
    <w:rsid w:val="001174F0"/>
    <w:rsid w:val="00117522"/>
    <w:rsid w:val="00120A60"/>
    <w:rsid w:val="00120F42"/>
    <w:rsid w:val="0012135A"/>
    <w:rsid w:val="0012142E"/>
    <w:rsid w:val="0012188E"/>
    <w:rsid w:val="00121CF1"/>
    <w:rsid w:val="001221D2"/>
    <w:rsid w:val="00123A5A"/>
    <w:rsid w:val="00123FDF"/>
    <w:rsid w:val="00124AE4"/>
    <w:rsid w:val="0012529A"/>
    <w:rsid w:val="0013030D"/>
    <w:rsid w:val="0013044F"/>
    <w:rsid w:val="001307D0"/>
    <w:rsid w:val="0013102C"/>
    <w:rsid w:val="00132626"/>
    <w:rsid w:val="00132909"/>
    <w:rsid w:val="00134508"/>
    <w:rsid w:val="00135158"/>
    <w:rsid w:val="00136886"/>
    <w:rsid w:val="00137D4A"/>
    <w:rsid w:val="001407E6"/>
    <w:rsid w:val="00140AAF"/>
    <w:rsid w:val="0014120C"/>
    <w:rsid w:val="001416EC"/>
    <w:rsid w:val="00142823"/>
    <w:rsid w:val="001429B2"/>
    <w:rsid w:val="00143B45"/>
    <w:rsid w:val="00143DFE"/>
    <w:rsid w:val="00143E18"/>
    <w:rsid w:val="00144120"/>
    <w:rsid w:val="0014578F"/>
    <w:rsid w:val="00146934"/>
    <w:rsid w:val="0014757C"/>
    <w:rsid w:val="00147DF7"/>
    <w:rsid w:val="00150886"/>
    <w:rsid w:val="001513ED"/>
    <w:rsid w:val="00152F24"/>
    <w:rsid w:val="00153194"/>
    <w:rsid w:val="00154257"/>
    <w:rsid w:val="001542D8"/>
    <w:rsid w:val="00155DCC"/>
    <w:rsid w:val="00156DF4"/>
    <w:rsid w:val="001579DC"/>
    <w:rsid w:val="0016048B"/>
    <w:rsid w:val="00160BFB"/>
    <w:rsid w:val="00164533"/>
    <w:rsid w:val="001646B4"/>
    <w:rsid w:val="00164A43"/>
    <w:rsid w:val="00164C34"/>
    <w:rsid w:val="00165089"/>
    <w:rsid w:val="0017025A"/>
    <w:rsid w:val="00170DE0"/>
    <w:rsid w:val="0017177B"/>
    <w:rsid w:val="00171959"/>
    <w:rsid w:val="00171C0B"/>
    <w:rsid w:val="00171EB9"/>
    <w:rsid w:val="00172119"/>
    <w:rsid w:val="00173086"/>
    <w:rsid w:val="001732BB"/>
    <w:rsid w:val="001744CA"/>
    <w:rsid w:val="00176B0D"/>
    <w:rsid w:val="00176DDF"/>
    <w:rsid w:val="00177093"/>
    <w:rsid w:val="0017776E"/>
    <w:rsid w:val="00177EF7"/>
    <w:rsid w:val="001809AF"/>
    <w:rsid w:val="00180C41"/>
    <w:rsid w:val="00181CBE"/>
    <w:rsid w:val="00182901"/>
    <w:rsid w:val="00182C4C"/>
    <w:rsid w:val="00182DF8"/>
    <w:rsid w:val="00183199"/>
    <w:rsid w:val="0018459D"/>
    <w:rsid w:val="001846B2"/>
    <w:rsid w:val="00184E79"/>
    <w:rsid w:val="00184E92"/>
    <w:rsid w:val="00185120"/>
    <w:rsid w:val="00185928"/>
    <w:rsid w:val="001879A7"/>
    <w:rsid w:val="00187A1B"/>
    <w:rsid w:val="00187A2D"/>
    <w:rsid w:val="00190AC8"/>
    <w:rsid w:val="00190BCC"/>
    <w:rsid w:val="001919FC"/>
    <w:rsid w:val="00192458"/>
    <w:rsid w:val="0019347E"/>
    <w:rsid w:val="0019443C"/>
    <w:rsid w:val="001952BA"/>
    <w:rsid w:val="00195435"/>
    <w:rsid w:val="001966D1"/>
    <w:rsid w:val="00197D8D"/>
    <w:rsid w:val="001A1A75"/>
    <w:rsid w:val="001A1C59"/>
    <w:rsid w:val="001A1F56"/>
    <w:rsid w:val="001A2701"/>
    <w:rsid w:val="001A3090"/>
    <w:rsid w:val="001A49D0"/>
    <w:rsid w:val="001A5A3D"/>
    <w:rsid w:val="001A696C"/>
    <w:rsid w:val="001A6F5D"/>
    <w:rsid w:val="001A756C"/>
    <w:rsid w:val="001A7BA8"/>
    <w:rsid w:val="001A7E9A"/>
    <w:rsid w:val="001B0A57"/>
    <w:rsid w:val="001B1807"/>
    <w:rsid w:val="001B4D2E"/>
    <w:rsid w:val="001B5AE7"/>
    <w:rsid w:val="001B6F55"/>
    <w:rsid w:val="001B7120"/>
    <w:rsid w:val="001C1073"/>
    <w:rsid w:val="001C1F4E"/>
    <w:rsid w:val="001C24B3"/>
    <w:rsid w:val="001C27A3"/>
    <w:rsid w:val="001C282C"/>
    <w:rsid w:val="001C346E"/>
    <w:rsid w:val="001C3853"/>
    <w:rsid w:val="001C3D2F"/>
    <w:rsid w:val="001C4DAD"/>
    <w:rsid w:val="001C5295"/>
    <w:rsid w:val="001C57CF"/>
    <w:rsid w:val="001C6400"/>
    <w:rsid w:val="001D0D18"/>
    <w:rsid w:val="001D15AC"/>
    <w:rsid w:val="001D19ED"/>
    <w:rsid w:val="001D2CBD"/>
    <w:rsid w:val="001D325E"/>
    <w:rsid w:val="001D35C8"/>
    <w:rsid w:val="001D4081"/>
    <w:rsid w:val="001D4AA5"/>
    <w:rsid w:val="001E027E"/>
    <w:rsid w:val="001E09FA"/>
    <w:rsid w:val="001E14A3"/>
    <w:rsid w:val="001E14BC"/>
    <w:rsid w:val="001E5652"/>
    <w:rsid w:val="001E6A3D"/>
    <w:rsid w:val="001E6DE2"/>
    <w:rsid w:val="001E7FAE"/>
    <w:rsid w:val="001F04BF"/>
    <w:rsid w:val="001F10A3"/>
    <w:rsid w:val="001F198A"/>
    <w:rsid w:val="001F203D"/>
    <w:rsid w:val="001F23F7"/>
    <w:rsid w:val="001F5A27"/>
    <w:rsid w:val="001F5B9C"/>
    <w:rsid w:val="001F6277"/>
    <w:rsid w:val="001F74B2"/>
    <w:rsid w:val="001F7711"/>
    <w:rsid w:val="001F7BA7"/>
    <w:rsid w:val="00200481"/>
    <w:rsid w:val="00201259"/>
    <w:rsid w:val="00201533"/>
    <w:rsid w:val="002017B8"/>
    <w:rsid w:val="0020330C"/>
    <w:rsid w:val="00203540"/>
    <w:rsid w:val="00203592"/>
    <w:rsid w:val="002038C5"/>
    <w:rsid w:val="00203CBC"/>
    <w:rsid w:val="00203FF5"/>
    <w:rsid w:val="00204C24"/>
    <w:rsid w:val="00204C4B"/>
    <w:rsid w:val="00204CD7"/>
    <w:rsid w:val="0021087F"/>
    <w:rsid w:val="0021182E"/>
    <w:rsid w:val="00211ECE"/>
    <w:rsid w:val="00211EEF"/>
    <w:rsid w:val="002126A4"/>
    <w:rsid w:val="0021282A"/>
    <w:rsid w:val="00212A22"/>
    <w:rsid w:val="002132CC"/>
    <w:rsid w:val="0021335C"/>
    <w:rsid w:val="00213511"/>
    <w:rsid w:val="0021410F"/>
    <w:rsid w:val="002145D2"/>
    <w:rsid w:val="0021520C"/>
    <w:rsid w:val="00215EF6"/>
    <w:rsid w:val="00216C14"/>
    <w:rsid w:val="0021716F"/>
    <w:rsid w:val="0021780E"/>
    <w:rsid w:val="002206EC"/>
    <w:rsid w:val="00220893"/>
    <w:rsid w:val="00221BA8"/>
    <w:rsid w:val="00221C41"/>
    <w:rsid w:val="00221D07"/>
    <w:rsid w:val="00221F70"/>
    <w:rsid w:val="00222D8A"/>
    <w:rsid w:val="00223348"/>
    <w:rsid w:val="0022362E"/>
    <w:rsid w:val="00223A14"/>
    <w:rsid w:val="00224B51"/>
    <w:rsid w:val="00226A3E"/>
    <w:rsid w:val="00227E4A"/>
    <w:rsid w:val="002301A1"/>
    <w:rsid w:val="00231513"/>
    <w:rsid w:val="00231C8A"/>
    <w:rsid w:val="00231C95"/>
    <w:rsid w:val="00232075"/>
    <w:rsid w:val="00232497"/>
    <w:rsid w:val="002325EF"/>
    <w:rsid w:val="00233110"/>
    <w:rsid w:val="00234388"/>
    <w:rsid w:val="0023479A"/>
    <w:rsid w:val="00234CFD"/>
    <w:rsid w:val="00234D7E"/>
    <w:rsid w:val="002358E2"/>
    <w:rsid w:val="00236C41"/>
    <w:rsid w:val="00236D33"/>
    <w:rsid w:val="00237544"/>
    <w:rsid w:val="00237CE1"/>
    <w:rsid w:val="00240E90"/>
    <w:rsid w:val="002414F5"/>
    <w:rsid w:val="00241780"/>
    <w:rsid w:val="00241A5D"/>
    <w:rsid w:val="00242045"/>
    <w:rsid w:val="00242D2D"/>
    <w:rsid w:val="00242F96"/>
    <w:rsid w:val="002432EE"/>
    <w:rsid w:val="00244272"/>
    <w:rsid w:val="00245413"/>
    <w:rsid w:val="0024582E"/>
    <w:rsid w:val="002462C1"/>
    <w:rsid w:val="00247605"/>
    <w:rsid w:val="00247BA0"/>
    <w:rsid w:val="0025026D"/>
    <w:rsid w:val="00252B68"/>
    <w:rsid w:val="00253FE0"/>
    <w:rsid w:val="00254264"/>
    <w:rsid w:val="002547EF"/>
    <w:rsid w:val="00254AC9"/>
    <w:rsid w:val="002554E3"/>
    <w:rsid w:val="002568CD"/>
    <w:rsid w:val="00256D65"/>
    <w:rsid w:val="00256FE3"/>
    <w:rsid w:val="002626F9"/>
    <w:rsid w:val="002639F4"/>
    <w:rsid w:val="00263F38"/>
    <w:rsid w:val="00266072"/>
    <w:rsid w:val="002662A3"/>
    <w:rsid w:val="00266754"/>
    <w:rsid w:val="00266AE3"/>
    <w:rsid w:val="00267AC2"/>
    <w:rsid w:val="00270138"/>
    <w:rsid w:val="00270915"/>
    <w:rsid w:val="00271F00"/>
    <w:rsid w:val="00272101"/>
    <w:rsid w:val="002725FE"/>
    <w:rsid w:val="002727EE"/>
    <w:rsid w:val="00273A80"/>
    <w:rsid w:val="00274C87"/>
    <w:rsid w:val="0027513D"/>
    <w:rsid w:val="00276026"/>
    <w:rsid w:val="00277275"/>
    <w:rsid w:val="002802FB"/>
    <w:rsid w:val="00280B68"/>
    <w:rsid w:val="00281BCD"/>
    <w:rsid w:val="00282278"/>
    <w:rsid w:val="00282DCD"/>
    <w:rsid w:val="0028316C"/>
    <w:rsid w:val="00283391"/>
    <w:rsid w:val="002851C8"/>
    <w:rsid w:val="00286C07"/>
    <w:rsid w:val="00290A42"/>
    <w:rsid w:val="00290EF4"/>
    <w:rsid w:val="0029100B"/>
    <w:rsid w:val="0029130D"/>
    <w:rsid w:val="00291E86"/>
    <w:rsid w:val="00291F73"/>
    <w:rsid w:val="0029204E"/>
    <w:rsid w:val="00292F7C"/>
    <w:rsid w:val="0029454A"/>
    <w:rsid w:val="00294788"/>
    <w:rsid w:val="00294BAD"/>
    <w:rsid w:val="0029537F"/>
    <w:rsid w:val="00295BBF"/>
    <w:rsid w:val="00295F6C"/>
    <w:rsid w:val="00295FA7"/>
    <w:rsid w:val="002961CB"/>
    <w:rsid w:val="0029631C"/>
    <w:rsid w:val="002A0194"/>
    <w:rsid w:val="002A07FB"/>
    <w:rsid w:val="002A10A1"/>
    <w:rsid w:val="002A205F"/>
    <w:rsid w:val="002A35D1"/>
    <w:rsid w:val="002A3A7D"/>
    <w:rsid w:val="002A3A92"/>
    <w:rsid w:val="002A3ACE"/>
    <w:rsid w:val="002A40A8"/>
    <w:rsid w:val="002A4265"/>
    <w:rsid w:val="002A4FAD"/>
    <w:rsid w:val="002A5CA5"/>
    <w:rsid w:val="002A5F8B"/>
    <w:rsid w:val="002A65C0"/>
    <w:rsid w:val="002A7F6C"/>
    <w:rsid w:val="002B0D8E"/>
    <w:rsid w:val="002B0E83"/>
    <w:rsid w:val="002B132B"/>
    <w:rsid w:val="002B149E"/>
    <w:rsid w:val="002B14B7"/>
    <w:rsid w:val="002B1709"/>
    <w:rsid w:val="002B1B01"/>
    <w:rsid w:val="002B1D32"/>
    <w:rsid w:val="002B2109"/>
    <w:rsid w:val="002B2D4A"/>
    <w:rsid w:val="002B3282"/>
    <w:rsid w:val="002B424C"/>
    <w:rsid w:val="002B4A1F"/>
    <w:rsid w:val="002B5A13"/>
    <w:rsid w:val="002B5D43"/>
    <w:rsid w:val="002B66D3"/>
    <w:rsid w:val="002B6C2D"/>
    <w:rsid w:val="002B6ECC"/>
    <w:rsid w:val="002B79A4"/>
    <w:rsid w:val="002C0C42"/>
    <w:rsid w:val="002C19C2"/>
    <w:rsid w:val="002C1B6F"/>
    <w:rsid w:val="002C1ED0"/>
    <w:rsid w:val="002C20B8"/>
    <w:rsid w:val="002C295B"/>
    <w:rsid w:val="002C3B98"/>
    <w:rsid w:val="002C3D2D"/>
    <w:rsid w:val="002C3DA8"/>
    <w:rsid w:val="002C4EF2"/>
    <w:rsid w:val="002C5929"/>
    <w:rsid w:val="002C63D6"/>
    <w:rsid w:val="002D16DD"/>
    <w:rsid w:val="002D1C46"/>
    <w:rsid w:val="002D2C1E"/>
    <w:rsid w:val="002D3BF1"/>
    <w:rsid w:val="002D41AA"/>
    <w:rsid w:val="002D5086"/>
    <w:rsid w:val="002D56DE"/>
    <w:rsid w:val="002D6697"/>
    <w:rsid w:val="002D6809"/>
    <w:rsid w:val="002D68A2"/>
    <w:rsid w:val="002D6EA0"/>
    <w:rsid w:val="002D7450"/>
    <w:rsid w:val="002E086A"/>
    <w:rsid w:val="002E1D20"/>
    <w:rsid w:val="002E2137"/>
    <w:rsid w:val="002E2693"/>
    <w:rsid w:val="002E39F6"/>
    <w:rsid w:val="002E44F2"/>
    <w:rsid w:val="002E47E7"/>
    <w:rsid w:val="002E484B"/>
    <w:rsid w:val="002E56C2"/>
    <w:rsid w:val="002E5712"/>
    <w:rsid w:val="002E611A"/>
    <w:rsid w:val="002E6259"/>
    <w:rsid w:val="002E6ED9"/>
    <w:rsid w:val="002E7304"/>
    <w:rsid w:val="002E7B02"/>
    <w:rsid w:val="002F02D9"/>
    <w:rsid w:val="002F0604"/>
    <w:rsid w:val="002F0A8F"/>
    <w:rsid w:val="002F0AA8"/>
    <w:rsid w:val="002F0D2A"/>
    <w:rsid w:val="002F16BF"/>
    <w:rsid w:val="002F2023"/>
    <w:rsid w:val="002F263C"/>
    <w:rsid w:val="002F2AA7"/>
    <w:rsid w:val="002F2C38"/>
    <w:rsid w:val="002F39C5"/>
    <w:rsid w:val="002F4E42"/>
    <w:rsid w:val="002F5ADF"/>
    <w:rsid w:val="002F6488"/>
    <w:rsid w:val="00300034"/>
    <w:rsid w:val="0030021D"/>
    <w:rsid w:val="003007EA"/>
    <w:rsid w:val="003010F3"/>
    <w:rsid w:val="003025EA"/>
    <w:rsid w:val="00302925"/>
    <w:rsid w:val="00303222"/>
    <w:rsid w:val="00303F27"/>
    <w:rsid w:val="0030544C"/>
    <w:rsid w:val="0030579C"/>
    <w:rsid w:val="00305823"/>
    <w:rsid w:val="003101BB"/>
    <w:rsid w:val="00310E84"/>
    <w:rsid w:val="00311343"/>
    <w:rsid w:val="00313279"/>
    <w:rsid w:val="00314D8B"/>
    <w:rsid w:val="00315A71"/>
    <w:rsid w:val="00315B20"/>
    <w:rsid w:val="00315D2E"/>
    <w:rsid w:val="00315E1C"/>
    <w:rsid w:val="00316E80"/>
    <w:rsid w:val="003171BF"/>
    <w:rsid w:val="00317DEE"/>
    <w:rsid w:val="00320C57"/>
    <w:rsid w:val="003213F9"/>
    <w:rsid w:val="003214BE"/>
    <w:rsid w:val="00321636"/>
    <w:rsid w:val="003226EB"/>
    <w:rsid w:val="003230C4"/>
    <w:rsid w:val="0032355D"/>
    <w:rsid w:val="00323A06"/>
    <w:rsid w:val="00323B58"/>
    <w:rsid w:val="00323C40"/>
    <w:rsid w:val="00323DBF"/>
    <w:rsid w:val="003247C9"/>
    <w:rsid w:val="00324983"/>
    <w:rsid w:val="00325162"/>
    <w:rsid w:val="00325924"/>
    <w:rsid w:val="00326526"/>
    <w:rsid w:val="00326D57"/>
    <w:rsid w:val="003309A8"/>
    <w:rsid w:val="00330F9A"/>
    <w:rsid w:val="003315F8"/>
    <w:rsid w:val="00331DA4"/>
    <w:rsid w:val="003320C0"/>
    <w:rsid w:val="00332B12"/>
    <w:rsid w:val="0033449B"/>
    <w:rsid w:val="003345B5"/>
    <w:rsid w:val="00334D89"/>
    <w:rsid w:val="003353D4"/>
    <w:rsid w:val="00336040"/>
    <w:rsid w:val="00336198"/>
    <w:rsid w:val="00336711"/>
    <w:rsid w:val="0033718C"/>
    <w:rsid w:val="0034107C"/>
    <w:rsid w:val="0034136E"/>
    <w:rsid w:val="00341D11"/>
    <w:rsid w:val="00342F13"/>
    <w:rsid w:val="00343D78"/>
    <w:rsid w:val="00344CE6"/>
    <w:rsid w:val="00345E52"/>
    <w:rsid w:val="00347935"/>
    <w:rsid w:val="00350031"/>
    <w:rsid w:val="00350B57"/>
    <w:rsid w:val="00350DBD"/>
    <w:rsid w:val="0035132C"/>
    <w:rsid w:val="0035171C"/>
    <w:rsid w:val="00351927"/>
    <w:rsid w:val="00351B07"/>
    <w:rsid w:val="0035277F"/>
    <w:rsid w:val="00353353"/>
    <w:rsid w:val="003535D8"/>
    <w:rsid w:val="003542D5"/>
    <w:rsid w:val="003543B9"/>
    <w:rsid w:val="00355473"/>
    <w:rsid w:val="00355D7F"/>
    <w:rsid w:val="00355ED5"/>
    <w:rsid w:val="003561A9"/>
    <w:rsid w:val="003570BB"/>
    <w:rsid w:val="00357487"/>
    <w:rsid w:val="00357E75"/>
    <w:rsid w:val="003605EC"/>
    <w:rsid w:val="00361BB6"/>
    <w:rsid w:val="0036268A"/>
    <w:rsid w:val="00362D61"/>
    <w:rsid w:val="003640C7"/>
    <w:rsid w:val="00364841"/>
    <w:rsid w:val="00364DD0"/>
    <w:rsid w:val="003653C2"/>
    <w:rsid w:val="0036655D"/>
    <w:rsid w:val="00366B93"/>
    <w:rsid w:val="00366C5C"/>
    <w:rsid w:val="0036703A"/>
    <w:rsid w:val="00370497"/>
    <w:rsid w:val="00370E8F"/>
    <w:rsid w:val="00371B29"/>
    <w:rsid w:val="00371BE0"/>
    <w:rsid w:val="00372182"/>
    <w:rsid w:val="00372B02"/>
    <w:rsid w:val="00373AF6"/>
    <w:rsid w:val="00373FC1"/>
    <w:rsid w:val="0037402F"/>
    <w:rsid w:val="00374CF3"/>
    <w:rsid w:val="0037520F"/>
    <w:rsid w:val="0037571A"/>
    <w:rsid w:val="003769B0"/>
    <w:rsid w:val="00376BB8"/>
    <w:rsid w:val="00377800"/>
    <w:rsid w:val="003779EF"/>
    <w:rsid w:val="00380DD3"/>
    <w:rsid w:val="00383E79"/>
    <w:rsid w:val="00385484"/>
    <w:rsid w:val="00385CA0"/>
    <w:rsid w:val="00386437"/>
    <w:rsid w:val="003865D4"/>
    <w:rsid w:val="003866C5"/>
    <w:rsid w:val="00386890"/>
    <w:rsid w:val="00386947"/>
    <w:rsid w:val="003878CE"/>
    <w:rsid w:val="00390928"/>
    <w:rsid w:val="00391769"/>
    <w:rsid w:val="003929D7"/>
    <w:rsid w:val="003930FE"/>
    <w:rsid w:val="00393229"/>
    <w:rsid w:val="00393F45"/>
    <w:rsid w:val="003944E5"/>
    <w:rsid w:val="00394BAC"/>
    <w:rsid w:val="003953E1"/>
    <w:rsid w:val="003956B3"/>
    <w:rsid w:val="003959B2"/>
    <w:rsid w:val="00396D3B"/>
    <w:rsid w:val="00396E2E"/>
    <w:rsid w:val="003978B7"/>
    <w:rsid w:val="003A0495"/>
    <w:rsid w:val="003A057C"/>
    <w:rsid w:val="003A0D81"/>
    <w:rsid w:val="003A188C"/>
    <w:rsid w:val="003A1A23"/>
    <w:rsid w:val="003A2C3D"/>
    <w:rsid w:val="003A2DE7"/>
    <w:rsid w:val="003A3543"/>
    <w:rsid w:val="003A3FCA"/>
    <w:rsid w:val="003A46A7"/>
    <w:rsid w:val="003A4EE2"/>
    <w:rsid w:val="003A56D4"/>
    <w:rsid w:val="003A647B"/>
    <w:rsid w:val="003A68BE"/>
    <w:rsid w:val="003A6DD8"/>
    <w:rsid w:val="003A7725"/>
    <w:rsid w:val="003B09A0"/>
    <w:rsid w:val="003B0DE8"/>
    <w:rsid w:val="003B17A2"/>
    <w:rsid w:val="003B1807"/>
    <w:rsid w:val="003B369B"/>
    <w:rsid w:val="003B36D8"/>
    <w:rsid w:val="003B3B4A"/>
    <w:rsid w:val="003B3B70"/>
    <w:rsid w:val="003B3C9D"/>
    <w:rsid w:val="003B3D2A"/>
    <w:rsid w:val="003B3E65"/>
    <w:rsid w:val="003B40FE"/>
    <w:rsid w:val="003B4C26"/>
    <w:rsid w:val="003B5192"/>
    <w:rsid w:val="003B537E"/>
    <w:rsid w:val="003B6C94"/>
    <w:rsid w:val="003B7250"/>
    <w:rsid w:val="003B78E0"/>
    <w:rsid w:val="003C0990"/>
    <w:rsid w:val="003C13E1"/>
    <w:rsid w:val="003C1602"/>
    <w:rsid w:val="003C4969"/>
    <w:rsid w:val="003D095B"/>
    <w:rsid w:val="003D0B95"/>
    <w:rsid w:val="003D11EB"/>
    <w:rsid w:val="003D1B59"/>
    <w:rsid w:val="003D1E2B"/>
    <w:rsid w:val="003D1EFE"/>
    <w:rsid w:val="003D3292"/>
    <w:rsid w:val="003D38DE"/>
    <w:rsid w:val="003D399F"/>
    <w:rsid w:val="003E0219"/>
    <w:rsid w:val="003E0350"/>
    <w:rsid w:val="003E11EC"/>
    <w:rsid w:val="003E12D7"/>
    <w:rsid w:val="003E33AA"/>
    <w:rsid w:val="003E41D5"/>
    <w:rsid w:val="003E46BA"/>
    <w:rsid w:val="003E47FE"/>
    <w:rsid w:val="003E498F"/>
    <w:rsid w:val="003E4C2F"/>
    <w:rsid w:val="003E4C84"/>
    <w:rsid w:val="003E4D3E"/>
    <w:rsid w:val="003E545E"/>
    <w:rsid w:val="003E5943"/>
    <w:rsid w:val="003E5D17"/>
    <w:rsid w:val="003E5D99"/>
    <w:rsid w:val="003E62C3"/>
    <w:rsid w:val="003E66A1"/>
    <w:rsid w:val="003E765C"/>
    <w:rsid w:val="003E777E"/>
    <w:rsid w:val="003E7D22"/>
    <w:rsid w:val="003F1271"/>
    <w:rsid w:val="003F18D1"/>
    <w:rsid w:val="003F1E67"/>
    <w:rsid w:val="003F2C68"/>
    <w:rsid w:val="003F2D00"/>
    <w:rsid w:val="003F3482"/>
    <w:rsid w:val="003F3955"/>
    <w:rsid w:val="003F401F"/>
    <w:rsid w:val="003F4253"/>
    <w:rsid w:val="003F5539"/>
    <w:rsid w:val="003F5A46"/>
    <w:rsid w:val="003F74C1"/>
    <w:rsid w:val="003F759E"/>
    <w:rsid w:val="003F7FD7"/>
    <w:rsid w:val="004012B3"/>
    <w:rsid w:val="0040147A"/>
    <w:rsid w:val="00401B55"/>
    <w:rsid w:val="00402380"/>
    <w:rsid w:val="0040339A"/>
    <w:rsid w:val="00405B1A"/>
    <w:rsid w:val="00405DA7"/>
    <w:rsid w:val="00407241"/>
    <w:rsid w:val="0040761E"/>
    <w:rsid w:val="00407C88"/>
    <w:rsid w:val="004100C0"/>
    <w:rsid w:val="00410C76"/>
    <w:rsid w:val="004113F3"/>
    <w:rsid w:val="00411907"/>
    <w:rsid w:val="00411F17"/>
    <w:rsid w:val="004124AD"/>
    <w:rsid w:val="004125DE"/>
    <w:rsid w:val="004131E2"/>
    <w:rsid w:val="00413C06"/>
    <w:rsid w:val="00413CA8"/>
    <w:rsid w:val="00414088"/>
    <w:rsid w:val="00414C12"/>
    <w:rsid w:val="0041505D"/>
    <w:rsid w:val="00415A98"/>
    <w:rsid w:val="00416524"/>
    <w:rsid w:val="004170E2"/>
    <w:rsid w:val="00417EE3"/>
    <w:rsid w:val="00417F12"/>
    <w:rsid w:val="004203D3"/>
    <w:rsid w:val="004207EB"/>
    <w:rsid w:val="0042247D"/>
    <w:rsid w:val="004225AC"/>
    <w:rsid w:val="004234E8"/>
    <w:rsid w:val="00423C34"/>
    <w:rsid w:val="00423CE7"/>
    <w:rsid w:val="00423D9F"/>
    <w:rsid w:val="00424BD1"/>
    <w:rsid w:val="00425EB2"/>
    <w:rsid w:val="004262E7"/>
    <w:rsid w:val="004303D4"/>
    <w:rsid w:val="00430B97"/>
    <w:rsid w:val="0043324F"/>
    <w:rsid w:val="00433C44"/>
    <w:rsid w:val="004348BC"/>
    <w:rsid w:val="00434AEF"/>
    <w:rsid w:val="0043543F"/>
    <w:rsid w:val="00435FA5"/>
    <w:rsid w:val="00436B8D"/>
    <w:rsid w:val="00437276"/>
    <w:rsid w:val="00437B0C"/>
    <w:rsid w:val="00437EE2"/>
    <w:rsid w:val="00440199"/>
    <w:rsid w:val="00441288"/>
    <w:rsid w:val="004417C8"/>
    <w:rsid w:val="00441EA6"/>
    <w:rsid w:val="004428DD"/>
    <w:rsid w:val="00443260"/>
    <w:rsid w:val="00443D85"/>
    <w:rsid w:val="00444B6C"/>
    <w:rsid w:val="00444CE5"/>
    <w:rsid w:val="0044509E"/>
    <w:rsid w:val="004467DB"/>
    <w:rsid w:val="00447955"/>
    <w:rsid w:val="00447E67"/>
    <w:rsid w:val="004504E3"/>
    <w:rsid w:val="00450819"/>
    <w:rsid w:val="00450982"/>
    <w:rsid w:val="00450D4D"/>
    <w:rsid w:val="00450F62"/>
    <w:rsid w:val="004516BD"/>
    <w:rsid w:val="00451AC7"/>
    <w:rsid w:val="004521B7"/>
    <w:rsid w:val="004541F0"/>
    <w:rsid w:val="00454A7F"/>
    <w:rsid w:val="00454B29"/>
    <w:rsid w:val="0045556F"/>
    <w:rsid w:val="00455A6C"/>
    <w:rsid w:val="00455BB3"/>
    <w:rsid w:val="00456B54"/>
    <w:rsid w:val="00456BC2"/>
    <w:rsid w:val="00456C20"/>
    <w:rsid w:val="0045709B"/>
    <w:rsid w:val="004602EC"/>
    <w:rsid w:val="00460358"/>
    <w:rsid w:val="0046103D"/>
    <w:rsid w:val="0046166F"/>
    <w:rsid w:val="00461C49"/>
    <w:rsid w:val="00462E3C"/>
    <w:rsid w:val="00462EAE"/>
    <w:rsid w:val="00463533"/>
    <w:rsid w:val="00463B56"/>
    <w:rsid w:val="00464247"/>
    <w:rsid w:val="004642A1"/>
    <w:rsid w:val="004645C2"/>
    <w:rsid w:val="00464643"/>
    <w:rsid w:val="004646F8"/>
    <w:rsid w:val="004649EB"/>
    <w:rsid w:val="0046525F"/>
    <w:rsid w:val="00465CAB"/>
    <w:rsid w:val="004660F3"/>
    <w:rsid w:val="00466271"/>
    <w:rsid w:val="004663CB"/>
    <w:rsid w:val="00466436"/>
    <w:rsid w:val="00467264"/>
    <w:rsid w:val="004714F2"/>
    <w:rsid w:val="00471D20"/>
    <w:rsid w:val="0047217E"/>
    <w:rsid w:val="0047221A"/>
    <w:rsid w:val="00472422"/>
    <w:rsid w:val="00472A2C"/>
    <w:rsid w:val="00473F4A"/>
    <w:rsid w:val="00474E89"/>
    <w:rsid w:val="0047514A"/>
    <w:rsid w:val="00475D2B"/>
    <w:rsid w:val="00475D9F"/>
    <w:rsid w:val="00477043"/>
    <w:rsid w:val="004770D8"/>
    <w:rsid w:val="004808E9"/>
    <w:rsid w:val="00480D77"/>
    <w:rsid w:val="004812B2"/>
    <w:rsid w:val="00481CE0"/>
    <w:rsid w:val="004827B8"/>
    <w:rsid w:val="00482DC3"/>
    <w:rsid w:val="00482FAB"/>
    <w:rsid w:val="0048314A"/>
    <w:rsid w:val="00483FA7"/>
    <w:rsid w:val="004854E7"/>
    <w:rsid w:val="0048634B"/>
    <w:rsid w:val="004865B8"/>
    <w:rsid w:val="00486793"/>
    <w:rsid w:val="0048787A"/>
    <w:rsid w:val="00490FE4"/>
    <w:rsid w:val="004924D6"/>
    <w:rsid w:val="00493DEB"/>
    <w:rsid w:val="00493E77"/>
    <w:rsid w:val="00494242"/>
    <w:rsid w:val="00494ABA"/>
    <w:rsid w:val="004963AB"/>
    <w:rsid w:val="00497505"/>
    <w:rsid w:val="00497618"/>
    <w:rsid w:val="004A080E"/>
    <w:rsid w:val="004A0ED2"/>
    <w:rsid w:val="004A0F09"/>
    <w:rsid w:val="004A11A6"/>
    <w:rsid w:val="004A14FB"/>
    <w:rsid w:val="004A169D"/>
    <w:rsid w:val="004A1F11"/>
    <w:rsid w:val="004A2037"/>
    <w:rsid w:val="004A24E3"/>
    <w:rsid w:val="004A2D0F"/>
    <w:rsid w:val="004A3685"/>
    <w:rsid w:val="004A36EE"/>
    <w:rsid w:val="004A48D7"/>
    <w:rsid w:val="004A5662"/>
    <w:rsid w:val="004A5F3C"/>
    <w:rsid w:val="004A5F43"/>
    <w:rsid w:val="004A62F4"/>
    <w:rsid w:val="004B09AE"/>
    <w:rsid w:val="004B1721"/>
    <w:rsid w:val="004B2047"/>
    <w:rsid w:val="004B21B2"/>
    <w:rsid w:val="004B246D"/>
    <w:rsid w:val="004B2591"/>
    <w:rsid w:val="004B3227"/>
    <w:rsid w:val="004B335C"/>
    <w:rsid w:val="004B3506"/>
    <w:rsid w:val="004B513E"/>
    <w:rsid w:val="004B5340"/>
    <w:rsid w:val="004B61A6"/>
    <w:rsid w:val="004C06E5"/>
    <w:rsid w:val="004C0D46"/>
    <w:rsid w:val="004C1B40"/>
    <w:rsid w:val="004C2CE7"/>
    <w:rsid w:val="004C2DC2"/>
    <w:rsid w:val="004C3C72"/>
    <w:rsid w:val="004C4003"/>
    <w:rsid w:val="004C4160"/>
    <w:rsid w:val="004C45E7"/>
    <w:rsid w:val="004C48B4"/>
    <w:rsid w:val="004C4956"/>
    <w:rsid w:val="004C5C61"/>
    <w:rsid w:val="004C5DE1"/>
    <w:rsid w:val="004C7BCE"/>
    <w:rsid w:val="004D030F"/>
    <w:rsid w:val="004D0419"/>
    <w:rsid w:val="004D2224"/>
    <w:rsid w:val="004D231F"/>
    <w:rsid w:val="004D26E2"/>
    <w:rsid w:val="004D284D"/>
    <w:rsid w:val="004D28DE"/>
    <w:rsid w:val="004D2DC3"/>
    <w:rsid w:val="004D30A6"/>
    <w:rsid w:val="004D32C3"/>
    <w:rsid w:val="004D4ED7"/>
    <w:rsid w:val="004D5864"/>
    <w:rsid w:val="004D59CE"/>
    <w:rsid w:val="004D5B18"/>
    <w:rsid w:val="004D7392"/>
    <w:rsid w:val="004D795D"/>
    <w:rsid w:val="004D7C9E"/>
    <w:rsid w:val="004E0020"/>
    <w:rsid w:val="004E00E6"/>
    <w:rsid w:val="004E0ACB"/>
    <w:rsid w:val="004E0CFB"/>
    <w:rsid w:val="004E2462"/>
    <w:rsid w:val="004E2857"/>
    <w:rsid w:val="004E361E"/>
    <w:rsid w:val="004E3BD2"/>
    <w:rsid w:val="004E3F4C"/>
    <w:rsid w:val="004E5CBD"/>
    <w:rsid w:val="004E72B5"/>
    <w:rsid w:val="004E7B35"/>
    <w:rsid w:val="004E7DE1"/>
    <w:rsid w:val="004F0930"/>
    <w:rsid w:val="004F0A69"/>
    <w:rsid w:val="004F1F58"/>
    <w:rsid w:val="004F2308"/>
    <w:rsid w:val="004F407D"/>
    <w:rsid w:val="004F4F98"/>
    <w:rsid w:val="004F57CF"/>
    <w:rsid w:val="004F6330"/>
    <w:rsid w:val="004F6724"/>
    <w:rsid w:val="004F69F6"/>
    <w:rsid w:val="004F7104"/>
    <w:rsid w:val="004F71CF"/>
    <w:rsid w:val="004F79AC"/>
    <w:rsid w:val="00500AFE"/>
    <w:rsid w:val="00500E75"/>
    <w:rsid w:val="00500EAA"/>
    <w:rsid w:val="00500FAF"/>
    <w:rsid w:val="005017CF"/>
    <w:rsid w:val="00501956"/>
    <w:rsid w:val="00501D44"/>
    <w:rsid w:val="005026F9"/>
    <w:rsid w:val="00502E9A"/>
    <w:rsid w:val="005030DF"/>
    <w:rsid w:val="0050311A"/>
    <w:rsid w:val="00503F6B"/>
    <w:rsid w:val="00505671"/>
    <w:rsid w:val="00505BE1"/>
    <w:rsid w:val="00506521"/>
    <w:rsid w:val="00506CFD"/>
    <w:rsid w:val="0050712F"/>
    <w:rsid w:val="005073DE"/>
    <w:rsid w:val="00510313"/>
    <w:rsid w:val="00512290"/>
    <w:rsid w:val="00513236"/>
    <w:rsid w:val="0051337F"/>
    <w:rsid w:val="005133FF"/>
    <w:rsid w:val="005146C7"/>
    <w:rsid w:val="00515500"/>
    <w:rsid w:val="0051590F"/>
    <w:rsid w:val="005207D8"/>
    <w:rsid w:val="00520ABC"/>
    <w:rsid w:val="00521C91"/>
    <w:rsid w:val="00521D39"/>
    <w:rsid w:val="00521EA9"/>
    <w:rsid w:val="00521F70"/>
    <w:rsid w:val="00522539"/>
    <w:rsid w:val="00523648"/>
    <w:rsid w:val="005248CF"/>
    <w:rsid w:val="00524B3A"/>
    <w:rsid w:val="0052563A"/>
    <w:rsid w:val="0052574B"/>
    <w:rsid w:val="0052629D"/>
    <w:rsid w:val="0052699C"/>
    <w:rsid w:val="0052749B"/>
    <w:rsid w:val="00527A0D"/>
    <w:rsid w:val="00527CD3"/>
    <w:rsid w:val="005304DB"/>
    <w:rsid w:val="0053079D"/>
    <w:rsid w:val="00530CE6"/>
    <w:rsid w:val="00531778"/>
    <w:rsid w:val="00533561"/>
    <w:rsid w:val="0053464E"/>
    <w:rsid w:val="005348D5"/>
    <w:rsid w:val="00534BCE"/>
    <w:rsid w:val="005361C8"/>
    <w:rsid w:val="00536756"/>
    <w:rsid w:val="005367BA"/>
    <w:rsid w:val="00537333"/>
    <w:rsid w:val="0053743A"/>
    <w:rsid w:val="0054090A"/>
    <w:rsid w:val="00541408"/>
    <w:rsid w:val="00541599"/>
    <w:rsid w:val="00541720"/>
    <w:rsid w:val="00543CD7"/>
    <w:rsid w:val="00543FAB"/>
    <w:rsid w:val="00544B29"/>
    <w:rsid w:val="00545625"/>
    <w:rsid w:val="00547ABE"/>
    <w:rsid w:val="00547D7D"/>
    <w:rsid w:val="005502B6"/>
    <w:rsid w:val="00552BE8"/>
    <w:rsid w:val="00552D72"/>
    <w:rsid w:val="00552F5E"/>
    <w:rsid w:val="0055318B"/>
    <w:rsid w:val="00553969"/>
    <w:rsid w:val="00553C8B"/>
    <w:rsid w:val="0055509B"/>
    <w:rsid w:val="005563B3"/>
    <w:rsid w:val="00556D74"/>
    <w:rsid w:val="005577DC"/>
    <w:rsid w:val="00557954"/>
    <w:rsid w:val="00557F44"/>
    <w:rsid w:val="00560601"/>
    <w:rsid w:val="005616F7"/>
    <w:rsid w:val="005626EF"/>
    <w:rsid w:val="0056271A"/>
    <w:rsid w:val="00562917"/>
    <w:rsid w:val="0056363A"/>
    <w:rsid w:val="00563BAD"/>
    <w:rsid w:val="00563D3A"/>
    <w:rsid w:val="005647D9"/>
    <w:rsid w:val="00564ABE"/>
    <w:rsid w:val="0056502C"/>
    <w:rsid w:val="00570166"/>
    <w:rsid w:val="0057025B"/>
    <w:rsid w:val="005708C5"/>
    <w:rsid w:val="00571022"/>
    <w:rsid w:val="005751EB"/>
    <w:rsid w:val="00575966"/>
    <w:rsid w:val="00575D70"/>
    <w:rsid w:val="00576429"/>
    <w:rsid w:val="00577EE7"/>
    <w:rsid w:val="00580FAD"/>
    <w:rsid w:val="00581D47"/>
    <w:rsid w:val="005833EC"/>
    <w:rsid w:val="00583EBC"/>
    <w:rsid w:val="00586228"/>
    <w:rsid w:val="00587B2B"/>
    <w:rsid w:val="0059083F"/>
    <w:rsid w:val="005922BF"/>
    <w:rsid w:val="00592407"/>
    <w:rsid w:val="005935AA"/>
    <w:rsid w:val="00593C30"/>
    <w:rsid w:val="0059498B"/>
    <w:rsid w:val="00594ADB"/>
    <w:rsid w:val="005956A5"/>
    <w:rsid w:val="005964C3"/>
    <w:rsid w:val="005965B7"/>
    <w:rsid w:val="00597253"/>
    <w:rsid w:val="0059727E"/>
    <w:rsid w:val="0059794B"/>
    <w:rsid w:val="00597F38"/>
    <w:rsid w:val="005A0572"/>
    <w:rsid w:val="005A12C2"/>
    <w:rsid w:val="005A1BB9"/>
    <w:rsid w:val="005A1EEA"/>
    <w:rsid w:val="005A29A1"/>
    <w:rsid w:val="005A3A03"/>
    <w:rsid w:val="005A4AF7"/>
    <w:rsid w:val="005A515D"/>
    <w:rsid w:val="005A5333"/>
    <w:rsid w:val="005A5638"/>
    <w:rsid w:val="005A58C1"/>
    <w:rsid w:val="005A5E41"/>
    <w:rsid w:val="005A63BD"/>
    <w:rsid w:val="005A7098"/>
    <w:rsid w:val="005A7D6C"/>
    <w:rsid w:val="005B0094"/>
    <w:rsid w:val="005B02C5"/>
    <w:rsid w:val="005B0768"/>
    <w:rsid w:val="005B0BC3"/>
    <w:rsid w:val="005B2B16"/>
    <w:rsid w:val="005B2D37"/>
    <w:rsid w:val="005B468A"/>
    <w:rsid w:val="005B578B"/>
    <w:rsid w:val="005B615C"/>
    <w:rsid w:val="005B6AF4"/>
    <w:rsid w:val="005C0244"/>
    <w:rsid w:val="005C04CB"/>
    <w:rsid w:val="005C05D0"/>
    <w:rsid w:val="005C2361"/>
    <w:rsid w:val="005C2758"/>
    <w:rsid w:val="005C34AE"/>
    <w:rsid w:val="005C3F67"/>
    <w:rsid w:val="005C4205"/>
    <w:rsid w:val="005C5541"/>
    <w:rsid w:val="005C59CD"/>
    <w:rsid w:val="005C5F65"/>
    <w:rsid w:val="005C666B"/>
    <w:rsid w:val="005C69E5"/>
    <w:rsid w:val="005C71BA"/>
    <w:rsid w:val="005C7419"/>
    <w:rsid w:val="005C7A56"/>
    <w:rsid w:val="005C7ED7"/>
    <w:rsid w:val="005D04F9"/>
    <w:rsid w:val="005D16AD"/>
    <w:rsid w:val="005D1F04"/>
    <w:rsid w:val="005D2505"/>
    <w:rsid w:val="005D2B8A"/>
    <w:rsid w:val="005D2CE4"/>
    <w:rsid w:val="005D3192"/>
    <w:rsid w:val="005D3F7F"/>
    <w:rsid w:val="005D431D"/>
    <w:rsid w:val="005D46CF"/>
    <w:rsid w:val="005D5CCB"/>
    <w:rsid w:val="005D72E1"/>
    <w:rsid w:val="005E036E"/>
    <w:rsid w:val="005E08EF"/>
    <w:rsid w:val="005E0DA3"/>
    <w:rsid w:val="005E0DE2"/>
    <w:rsid w:val="005E1010"/>
    <w:rsid w:val="005E2043"/>
    <w:rsid w:val="005E263C"/>
    <w:rsid w:val="005E2989"/>
    <w:rsid w:val="005E2B6C"/>
    <w:rsid w:val="005E3D8C"/>
    <w:rsid w:val="005E3DBC"/>
    <w:rsid w:val="005E531E"/>
    <w:rsid w:val="005E563D"/>
    <w:rsid w:val="005E62A0"/>
    <w:rsid w:val="005E6355"/>
    <w:rsid w:val="005E63EE"/>
    <w:rsid w:val="005E6E16"/>
    <w:rsid w:val="005E6FD8"/>
    <w:rsid w:val="005E784A"/>
    <w:rsid w:val="005E7912"/>
    <w:rsid w:val="005F0116"/>
    <w:rsid w:val="005F0E4A"/>
    <w:rsid w:val="005F0FEB"/>
    <w:rsid w:val="005F2A66"/>
    <w:rsid w:val="005F3F5F"/>
    <w:rsid w:val="005F400E"/>
    <w:rsid w:val="005F6D41"/>
    <w:rsid w:val="005F7342"/>
    <w:rsid w:val="005F7794"/>
    <w:rsid w:val="00601E8E"/>
    <w:rsid w:val="00603A08"/>
    <w:rsid w:val="00605029"/>
    <w:rsid w:val="0060551E"/>
    <w:rsid w:val="00605AFE"/>
    <w:rsid w:val="00605D32"/>
    <w:rsid w:val="00606106"/>
    <w:rsid w:val="00606AB8"/>
    <w:rsid w:val="00606C88"/>
    <w:rsid w:val="00610170"/>
    <w:rsid w:val="006101AA"/>
    <w:rsid w:val="006105F2"/>
    <w:rsid w:val="00610767"/>
    <w:rsid w:val="0061076E"/>
    <w:rsid w:val="00610A3C"/>
    <w:rsid w:val="006110CA"/>
    <w:rsid w:val="006119AB"/>
    <w:rsid w:val="0061224C"/>
    <w:rsid w:val="00612C90"/>
    <w:rsid w:val="006133A4"/>
    <w:rsid w:val="006133E1"/>
    <w:rsid w:val="006140E9"/>
    <w:rsid w:val="00614609"/>
    <w:rsid w:val="00614D03"/>
    <w:rsid w:val="00615742"/>
    <w:rsid w:val="00616746"/>
    <w:rsid w:val="00616F63"/>
    <w:rsid w:val="0061734B"/>
    <w:rsid w:val="006202CE"/>
    <w:rsid w:val="00621D13"/>
    <w:rsid w:val="00621F33"/>
    <w:rsid w:val="00622F4F"/>
    <w:rsid w:val="0062403E"/>
    <w:rsid w:val="00624F7D"/>
    <w:rsid w:val="00625928"/>
    <w:rsid w:val="006264B2"/>
    <w:rsid w:val="00626792"/>
    <w:rsid w:val="0062706C"/>
    <w:rsid w:val="006270D6"/>
    <w:rsid w:val="006272F8"/>
    <w:rsid w:val="00627E70"/>
    <w:rsid w:val="00627EFD"/>
    <w:rsid w:val="00627F48"/>
    <w:rsid w:val="006315BA"/>
    <w:rsid w:val="006327B7"/>
    <w:rsid w:val="006329EA"/>
    <w:rsid w:val="00633ACA"/>
    <w:rsid w:val="00633FE2"/>
    <w:rsid w:val="006342E0"/>
    <w:rsid w:val="0063436F"/>
    <w:rsid w:val="00634955"/>
    <w:rsid w:val="006359D9"/>
    <w:rsid w:val="00635B7F"/>
    <w:rsid w:val="00635F5B"/>
    <w:rsid w:val="006407FD"/>
    <w:rsid w:val="0064124A"/>
    <w:rsid w:val="00641BFE"/>
    <w:rsid w:val="006425B5"/>
    <w:rsid w:val="00642A47"/>
    <w:rsid w:val="00646611"/>
    <w:rsid w:val="00646FDD"/>
    <w:rsid w:val="0064746C"/>
    <w:rsid w:val="00647509"/>
    <w:rsid w:val="0064758D"/>
    <w:rsid w:val="00647691"/>
    <w:rsid w:val="006501D7"/>
    <w:rsid w:val="006508EE"/>
    <w:rsid w:val="00651AB5"/>
    <w:rsid w:val="00651BDD"/>
    <w:rsid w:val="00651E59"/>
    <w:rsid w:val="0065247D"/>
    <w:rsid w:val="006527E2"/>
    <w:rsid w:val="00652E3D"/>
    <w:rsid w:val="006532FF"/>
    <w:rsid w:val="0065450F"/>
    <w:rsid w:val="006551F0"/>
    <w:rsid w:val="00655B3D"/>
    <w:rsid w:val="006579D2"/>
    <w:rsid w:val="00657AB9"/>
    <w:rsid w:val="00657B7F"/>
    <w:rsid w:val="00660845"/>
    <w:rsid w:val="006608F5"/>
    <w:rsid w:val="00660AAF"/>
    <w:rsid w:val="006622B1"/>
    <w:rsid w:val="006623C5"/>
    <w:rsid w:val="0066257E"/>
    <w:rsid w:val="00662919"/>
    <w:rsid w:val="0066378D"/>
    <w:rsid w:val="00663851"/>
    <w:rsid w:val="00663FCF"/>
    <w:rsid w:val="0066447D"/>
    <w:rsid w:val="00664E2A"/>
    <w:rsid w:val="006652A2"/>
    <w:rsid w:val="00665456"/>
    <w:rsid w:val="006656D4"/>
    <w:rsid w:val="0066587E"/>
    <w:rsid w:val="00666B01"/>
    <w:rsid w:val="00666B2D"/>
    <w:rsid w:val="00670293"/>
    <w:rsid w:val="006713CD"/>
    <w:rsid w:val="00671A10"/>
    <w:rsid w:val="00672A95"/>
    <w:rsid w:val="00672E84"/>
    <w:rsid w:val="006734A3"/>
    <w:rsid w:val="00673E1E"/>
    <w:rsid w:val="006752CD"/>
    <w:rsid w:val="006777D0"/>
    <w:rsid w:val="00681754"/>
    <w:rsid w:val="00681B7C"/>
    <w:rsid w:val="00683BD8"/>
    <w:rsid w:val="0068498D"/>
    <w:rsid w:val="00684BBA"/>
    <w:rsid w:val="006852B2"/>
    <w:rsid w:val="00685713"/>
    <w:rsid w:val="00685CC7"/>
    <w:rsid w:val="00685DF7"/>
    <w:rsid w:val="00686992"/>
    <w:rsid w:val="006874D0"/>
    <w:rsid w:val="00687991"/>
    <w:rsid w:val="00690532"/>
    <w:rsid w:val="00690D93"/>
    <w:rsid w:val="00691FE3"/>
    <w:rsid w:val="006930C3"/>
    <w:rsid w:val="00693522"/>
    <w:rsid w:val="006937FF"/>
    <w:rsid w:val="0069381D"/>
    <w:rsid w:val="006939D4"/>
    <w:rsid w:val="00694AC8"/>
    <w:rsid w:val="0069643B"/>
    <w:rsid w:val="006965BF"/>
    <w:rsid w:val="006A0AEE"/>
    <w:rsid w:val="006A0B67"/>
    <w:rsid w:val="006A0BBB"/>
    <w:rsid w:val="006A0C2E"/>
    <w:rsid w:val="006A381D"/>
    <w:rsid w:val="006A3D8A"/>
    <w:rsid w:val="006A421D"/>
    <w:rsid w:val="006A42E9"/>
    <w:rsid w:val="006A48A7"/>
    <w:rsid w:val="006A496D"/>
    <w:rsid w:val="006A60D1"/>
    <w:rsid w:val="006B03BD"/>
    <w:rsid w:val="006B0578"/>
    <w:rsid w:val="006B090B"/>
    <w:rsid w:val="006B1CDA"/>
    <w:rsid w:val="006B209A"/>
    <w:rsid w:val="006B2580"/>
    <w:rsid w:val="006B28F6"/>
    <w:rsid w:val="006B3894"/>
    <w:rsid w:val="006B3EF2"/>
    <w:rsid w:val="006B3F21"/>
    <w:rsid w:val="006B45F5"/>
    <w:rsid w:val="006B4BA1"/>
    <w:rsid w:val="006B526E"/>
    <w:rsid w:val="006B6A13"/>
    <w:rsid w:val="006B6BE4"/>
    <w:rsid w:val="006C0A72"/>
    <w:rsid w:val="006C13C8"/>
    <w:rsid w:val="006C218E"/>
    <w:rsid w:val="006C28E2"/>
    <w:rsid w:val="006C2F2B"/>
    <w:rsid w:val="006C4000"/>
    <w:rsid w:val="006C4282"/>
    <w:rsid w:val="006C58D8"/>
    <w:rsid w:val="006C5CF5"/>
    <w:rsid w:val="006C657F"/>
    <w:rsid w:val="006C780A"/>
    <w:rsid w:val="006C7DCE"/>
    <w:rsid w:val="006D0B28"/>
    <w:rsid w:val="006D1375"/>
    <w:rsid w:val="006D25B5"/>
    <w:rsid w:val="006D30E1"/>
    <w:rsid w:val="006D4B4A"/>
    <w:rsid w:val="006D4FCB"/>
    <w:rsid w:val="006D66D0"/>
    <w:rsid w:val="006D7328"/>
    <w:rsid w:val="006D7DFA"/>
    <w:rsid w:val="006D7F68"/>
    <w:rsid w:val="006E1C04"/>
    <w:rsid w:val="006E2CE8"/>
    <w:rsid w:val="006E2E54"/>
    <w:rsid w:val="006E3D97"/>
    <w:rsid w:val="006E4095"/>
    <w:rsid w:val="006E5939"/>
    <w:rsid w:val="006E5CCC"/>
    <w:rsid w:val="006E62AF"/>
    <w:rsid w:val="006E6410"/>
    <w:rsid w:val="006E71A9"/>
    <w:rsid w:val="006E7350"/>
    <w:rsid w:val="006E7932"/>
    <w:rsid w:val="006F1AE7"/>
    <w:rsid w:val="006F1DE9"/>
    <w:rsid w:val="006F2732"/>
    <w:rsid w:val="006F2ED3"/>
    <w:rsid w:val="006F3005"/>
    <w:rsid w:val="006F37D8"/>
    <w:rsid w:val="006F3866"/>
    <w:rsid w:val="006F471D"/>
    <w:rsid w:val="006F49F3"/>
    <w:rsid w:val="006F4A82"/>
    <w:rsid w:val="006F4C60"/>
    <w:rsid w:val="006F7B14"/>
    <w:rsid w:val="0070002F"/>
    <w:rsid w:val="00700239"/>
    <w:rsid w:val="007006DC"/>
    <w:rsid w:val="00701768"/>
    <w:rsid w:val="007022BD"/>
    <w:rsid w:val="0070255B"/>
    <w:rsid w:val="007027C0"/>
    <w:rsid w:val="00702E0F"/>
    <w:rsid w:val="007032BE"/>
    <w:rsid w:val="0070373B"/>
    <w:rsid w:val="0070559A"/>
    <w:rsid w:val="0070597E"/>
    <w:rsid w:val="00705DBD"/>
    <w:rsid w:val="0070620D"/>
    <w:rsid w:val="00707E72"/>
    <w:rsid w:val="0071026B"/>
    <w:rsid w:val="0071060D"/>
    <w:rsid w:val="007113EB"/>
    <w:rsid w:val="00714767"/>
    <w:rsid w:val="007154A8"/>
    <w:rsid w:val="007170DC"/>
    <w:rsid w:val="0072150F"/>
    <w:rsid w:val="00721621"/>
    <w:rsid w:val="00722213"/>
    <w:rsid w:val="00722388"/>
    <w:rsid w:val="0072239B"/>
    <w:rsid w:val="007223DC"/>
    <w:rsid w:val="00722402"/>
    <w:rsid w:val="0072249A"/>
    <w:rsid w:val="007224F3"/>
    <w:rsid w:val="007228EF"/>
    <w:rsid w:val="00724498"/>
    <w:rsid w:val="00724D96"/>
    <w:rsid w:val="00724FA4"/>
    <w:rsid w:val="00725157"/>
    <w:rsid w:val="007251F6"/>
    <w:rsid w:val="007255B7"/>
    <w:rsid w:val="00725944"/>
    <w:rsid w:val="00726012"/>
    <w:rsid w:val="00726B44"/>
    <w:rsid w:val="00726C2F"/>
    <w:rsid w:val="0072708A"/>
    <w:rsid w:val="00727B85"/>
    <w:rsid w:val="00730800"/>
    <w:rsid w:val="00731C1D"/>
    <w:rsid w:val="00731F11"/>
    <w:rsid w:val="00732C13"/>
    <w:rsid w:val="0073360D"/>
    <w:rsid w:val="0073376C"/>
    <w:rsid w:val="00734ED4"/>
    <w:rsid w:val="00735346"/>
    <w:rsid w:val="007361BB"/>
    <w:rsid w:val="007372F5"/>
    <w:rsid w:val="00737902"/>
    <w:rsid w:val="0074126F"/>
    <w:rsid w:val="00741968"/>
    <w:rsid w:val="00741EFE"/>
    <w:rsid w:val="007422C4"/>
    <w:rsid w:val="007442E5"/>
    <w:rsid w:val="00744AFF"/>
    <w:rsid w:val="00745375"/>
    <w:rsid w:val="00745D7B"/>
    <w:rsid w:val="00745FC0"/>
    <w:rsid w:val="007464AE"/>
    <w:rsid w:val="007467D7"/>
    <w:rsid w:val="00746811"/>
    <w:rsid w:val="00747F49"/>
    <w:rsid w:val="0075027A"/>
    <w:rsid w:val="007522B0"/>
    <w:rsid w:val="00752B25"/>
    <w:rsid w:val="007531D3"/>
    <w:rsid w:val="00753504"/>
    <w:rsid w:val="0075419C"/>
    <w:rsid w:val="00754402"/>
    <w:rsid w:val="00755248"/>
    <w:rsid w:val="007557BC"/>
    <w:rsid w:val="00756313"/>
    <w:rsid w:val="007570CD"/>
    <w:rsid w:val="007601F6"/>
    <w:rsid w:val="007602AA"/>
    <w:rsid w:val="00761762"/>
    <w:rsid w:val="00762C5E"/>
    <w:rsid w:val="00764A83"/>
    <w:rsid w:val="00764BA8"/>
    <w:rsid w:val="007652EF"/>
    <w:rsid w:val="0076562E"/>
    <w:rsid w:val="0076592C"/>
    <w:rsid w:val="00765BC1"/>
    <w:rsid w:val="00765DD8"/>
    <w:rsid w:val="00765F58"/>
    <w:rsid w:val="00766808"/>
    <w:rsid w:val="00766D56"/>
    <w:rsid w:val="00766E16"/>
    <w:rsid w:val="00767570"/>
    <w:rsid w:val="007706CF"/>
    <w:rsid w:val="007718D3"/>
    <w:rsid w:val="00771905"/>
    <w:rsid w:val="00772212"/>
    <w:rsid w:val="0077248A"/>
    <w:rsid w:val="0077256B"/>
    <w:rsid w:val="00772BDC"/>
    <w:rsid w:val="00773B64"/>
    <w:rsid w:val="00774185"/>
    <w:rsid w:val="00775826"/>
    <w:rsid w:val="007758C1"/>
    <w:rsid w:val="00775AD5"/>
    <w:rsid w:val="007770D0"/>
    <w:rsid w:val="00780185"/>
    <w:rsid w:val="007805F5"/>
    <w:rsid w:val="00780792"/>
    <w:rsid w:val="00780A17"/>
    <w:rsid w:val="00780E68"/>
    <w:rsid w:val="00781368"/>
    <w:rsid w:val="007819C7"/>
    <w:rsid w:val="00781C67"/>
    <w:rsid w:val="007822D2"/>
    <w:rsid w:val="0078254A"/>
    <w:rsid w:val="00782A7F"/>
    <w:rsid w:val="00782BA9"/>
    <w:rsid w:val="007835B0"/>
    <w:rsid w:val="00785127"/>
    <w:rsid w:val="007851B7"/>
    <w:rsid w:val="007859CB"/>
    <w:rsid w:val="007861E7"/>
    <w:rsid w:val="007871A2"/>
    <w:rsid w:val="00787F16"/>
    <w:rsid w:val="00790DFF"/>
    <w:rsid w:val="0079101F"/>
    <w:rsid w:val="00791466"/>
    <w:rsid w:val="00791966"/>
    <w:rsid w:val="00791A39"/>
    <w:rsid w:val="00792744"/>
    <w:rsid w:val="00792853"/>
    <w:rsid w:val="007928D7"/>
    <w:rsid w:val="00793292"/>
    <w:rsid w:val="00794058"/>
    <w:rsid w:val="00794E5C"/>
    <w:rsid w:val="00795751"/>
    <w:rsid w:val="00796C8B"/>
    <w:rsid w:val="00796F20"/>
    <w:rsid w:val="007A18FA"/>
    <w:rsid w:val="007A2A31"/>
    <w:rsid w:val="007A314E"/>
    <w:rsid w:val="007A44B4"/>
    <w:rsid w:val="007A4AD8"/>
    <w:rsid w:val="007A4CFF"/>
    <w:rsid w:val="007A5F66"/>
    <w:rsid w:val="007A6E72"/>
    <w:rsid w:val="007A7D3D"/>
    <w:rsid w:val="007B225D"/>
    <w:rsid w:val="007B2519"/>
    <w:rsid w:val="007B368C"/>
    <w:rsid w:val="007B3865"/>
    <w:rsid w:val="007B4157"/>
    <w:rsid w:val="007B417E"/>
    <w:rsid w:val="007B46D7"/>
    <w:rsid w:val="007B5E26"/>
    <w:rsid w:val="007B7652"/>
    <w:rsid w:val="007B7B58"/>
    <w:rsid w:val="007B7BD4"/>
    <w:rsid w:val="007C0B66"/>
    <w:rsid w:val="007C1522"/>
    <w:rsid w:val="007C174F"/>
    <w:rsid w:val="007C19C1"/>
    <w:rsid w:val="007C1C64"/>
    <w:rsid w:val="007C22E1"/>
    <w:rsid w:val="007C24B0"/>
    <w:rsid w:val="007C2A53"/>
    <w:rsid w:val="007C4235"/>
    <w:rsid w:val="007C55DB"/>
    <w:rsid w:val="007C6318"/>
    <w:rsid w:val="007C6E69"/>
    <w:rsid w:val="007C6EB3"/>
    <w:rsid w:val="007C6F30"/>
    <w:rsid w:val="007C7E0A"/>
    <w:rsid w:val="007D016B"/>
    <w:rsid w:val="007D0C26"/>
    <w:rsid w:val="007D1350"/>
    <w:rsid w:val="007D183A"/>
    <w:rsid w:val="007D19D6"/>
    <w:rsid w:val="007D4065"/>
    <w:rsid w:val="007D40A1"/>
    <w:rsid w:val="007D48D7"/>
    <w:rsid w:val="007D53F3"/>
    <w:rsid w:val="007E016E"/>
    <w:rsid w:val="007E0D66"/>
    <w:rsid w:val="007E0EB5"/>
    <w:rsid w:val="007E0F78"/>
    <w:rsid w:val="007E2851"/>
    <w:rsid w:val="007E297D"/>
    <w:rsid w:val="007E3C42"/>
    <w:rsid w:val="007E48BC"/>
    <w:rsid w:val="007E4F7B"/>
    <w:rsid w:val="007E6749"/>
    <w:rsid w:val="007E6AB3"/>
    <w:rsid w:val="007E70D3"/>
    <w:rsid w:val="007E79D5"/>
    <w:rsid w:val="007E79F7"/>
    <w:rsid w:val="007E7EBB"/>
    <w:rsid w:val="007F0485"/>
    <w:rsid w:val="007F0AAD"/>
    <w:rsid w:val="007F0C16"/>
    <w:rsid w:val="007F0DAA"/>
    <w:rsid w:val="007F13DF"/>
    <w:rsid w:val="007F1489"/>
    <w:rsid w:val="007F14DF"/>
    <w:rsid w:val="007F1E86"/>
    <w:rsid w:val="007F20F4"/>
    <w:rsid w:val="007F2630"/>
    <w:rsid w:val="007F3630"/>
    <w:rsid w:val="007F3647"/>
    <w:rsid w:val="007F3AEB"/>
    <w:rsid w:val="007F3E84"/>
    <w:rsid w:val="007F44C9"/>
    <w:rsid w:val="007F5095"/>
    <w:rsid w:val="0080025B"/>
    <w:rsid w:val="00800356"/>
    <w:rsid w:val="00800756"/>
    <w:rsid w:val="00800ED4"/>
    <w:rsid w:val="00800F9F"/>
    <w:rsid w:val="008011CA"/>
    <w:rsid w:val="0080179A"/>
    <w:rsid w:val="0080346B"/>
    <w:rsid w:val="00803905"/>
    <w:rsid w:val="0080457A"/>
    <w:rsid w:val="0080476B"/>
    <w:rsid w:val="00805AD8"/>
    <w:rsid w:val="00805CA3"/>
    <w:rsid w:val="0080612E"/>
    <w:rsid w:val="00806415"/>
    <w:rsid w:val="00807466"/>
    <w:rsid w:val="00807559"/>
    <w:rsid w:val="008079C3"/>
    <w:rsid w:val="00807EC6"/>
    <w:rsid w:val="008111A4"/>
    <w:rsid w:val="008114CB"/>
    <w:rsid w:val="0081184D"/>
    <w:rsid w:val="008122E3"/>
    <w:rsid w:val="00812519"/>
    <w:rsid w:val="008126CB"/>
    <w:rsid w:val="008129A2"/>
    <w:rsid w:val="00812DAE"/>
    <w:rsid w:val="00812E8B"/>
    <w:rsid w:val="0081440D"/>
    <w:rsid w:val="008148E9"/>
    <w:rsid w:val="00814A5C"/>
    <w:rsid w:val="00815818"/>
    <w:rsid w:val="0081589B"/>
    <w:rsid w:val="008164AF"/>
    <w:rsid w:val="008169FA"/>
    <w:rsid w:val="0081704A"/>
    <w:rsid w:val="008216CE"/>
    <w:rsid w:val="00822935"/>
    <w:rsid w:val="00822D09"/>
    <w:rsid w:val="00824A0A"/>
    <w:rsid w:val="00824F81"/>
    <w:rsid w:val="00826E7B"/>
    <w:rsid w:val="00826FAB"/>
    <w:rsid w:val="0082754C"/>
    <w:rsid w:val="00827E9E"/>
    <w:rsid w:val="008302E9"/>
    <w:rsid w:val="008309EB"/>
    <w:rsid w:val="0083178D"/>
    <w:rsid w:val="0083268A"/>
    <w:rsid w:val="0083336B"/>
    <w:rsid w:val="00834481"/>
    <w:rsid w:val="00834D02"/>
    <w:rsid w:val="00835019"/>
    <w:rsid w:val="008351A9"/>
    <w:rsid w:val="008351C4"/>
    <w:rsid w:val="00836225"/>
    <w:rsid w:val="00837565"/>
    <w:rsid w:val="008378C6"/>
    <w:rsid w:val="00840A99"/>
    <w:rsid w:val="00840ECB"/>
    <w:rsid w:val="00841378"/>
    <w:rsid w:val="00842878"/>
    <w:rsid w:val="008430CC"/>
    <w:rsid w:val="008450BC"/>
    <w:rsid w:val="00845BC2"/>
    <w:rsid w:val="00845ED6"/>
    <w:rsid w:val="008462CB"/>
    <w:rsid w:val="0084648D"/>
    <w:rsid w:val="00847983"/>
    <w:rsid w:val="0085051F"/>
    <w:rsid w:val="00850721"/>
    <w:rsid w:val="00850766"/>
    <w:rsid w:val="00851A60"/>
    <w:rsid w:val="00851A8B"/>
    <w:rsid w:val="00851AE1"/>
    <w:rsid w:val="00851F0C"/>
    <w:rsid w:val="0085216A"/>
    <w:rsid w:val="0085334B"/>
    <w:rsid w:val="00853455"/>
    <w:rsid w:val="00853DDA"/>
    <w:rsid w:val="00853E0D"/>
    <w:rsid w:val="00853ECD"/>
    <w:rsid w:val="0085417E"/>
    <w:rsid w:val="0085457E"/>
    <w:rsid w:val="0085468F"/>
    <w:rsid w:val="0085645A"/>
    <w:rsid w:val="0085666D"/>
    <w:rsid w:val="00856C9E"/>
    <w:rsid w:val="00856FE3"/>
    <w:rsid w:val="008600B3"/>
    <w:rsid w:val="008616E6"/>
    <w:rsid w:val="00861BD0"/>
    <w:rsid w:val="00861FBD"/>
    <w:rsid w:val="0086223D"/>
    <w:rsid w:val="0086294E"/>
    <w:rsid w:val="00862CE5"/>
    <w:rsid w:val="00863F66"/>
    <w:rsid w:val="008649CA"/>
    <w:rsid w:val="00864AEE"/>
    <w:rsid w:val="00865227"/>
    <w:rsid w:val="00866B9D"/>
    <w:rsid w:val="008676A9"/>
    <w:rsid w:val="00867B23"/>
    <w:rsid w:val="00867E86"/>
    <w:rsid w:val="00870214"/>
    <w:rsid w:val="0087039E"/>
    <w:rsid w:val="008706EF"/>
    <w:rsid w:val="0087142F"/>
    <w:rsid w:val="00871B8A"/>
    <w:rsid w:val="008725E4"/>
    <w:rsid w:val="008763C5"/>
    <w:rsid w:val="00876515"/>
    <w:rsid w:val="00876B65"/>
    <w:rsid w:val="00876BA8"/>
    <w:rsid w:val="00876E6B"/>
    <w:rsid w:val="008810AB"/>
    <w:rsid w:val="008811C6"/>
    <w:rsid w:val="00881C15"/>
    <w:rsid w:val="008826CA"/>
    <w:rsid w:val="008828D9"/>
    <w:rsid w:val="008836EC"/>
    <w:rsid w:val="00883E2F"/>
    <w:rsid w:val="008840AD"/>
    <w:rsid w:val="0088421A"/>
    <w:rsid w:val="00885C51"/>
    <w:rsid w:val="00885EB0"/>
    <w:rsid w:val="008871D8"/>
    <w:rsid w:val="00890511"/>
    <w:rsid w:val="00890D35"/>
    <w:rsid w:val="008918E3"/>
    <w:rsid w:val="00891DC4"/>
    <w:rsid w:val="0089203C"/>
    <w:rsid w:val="008925F4"/>
    <w:rsid w:val="0089264A"/>
    <w:rsid w:val="008931DB"/>
    <w:rsid w:val="008943F5"/>
    <w:rsid w:val="00894468"/>
    <w:rsid w:val="00894EA8"/>
    <w:rsid w:val="00894F09"/>
    <w:rsid w:val="00895F9E"/>
    <w:rsid w:val="00896B85"/>
    <w:rsid w:val="00896BAB"/>
    <w:rsid w:val="008971FE"/>
    <w:rsid w:val="008976C1"/>
    <w:rsid w:val="008A08AD"/>
    <w:rsid w:val="008A1A78"/>
    <w:rsid w:val="008A22BE"/>
    <w:rsid w:val="008A2C4A"/>
    <w:rsid w:val="008A3036"/>
    <w:rsid w:val="008A31FA"/>
    <w:rsid w:val="008A3221"/>
    <w:rsid w:val="008A35FB"/>
    <w:rsid w:val="008A478A"/>
    <w:rsid w:val="008A4B84"/>
    <w:rsid w:val="008A592C"/>
    <w:rsid w:val="008A7004"/>
    <w:rsid w:val="008A723F"/>
    <w:rsid w:val="008B0075"/>
    <w:rsid w:val="008B0109"/>
    <w:rsid w:val="008B058E"/>
    <w:rsid w:val="008B0E6D"/>
    <w:rsid w:val="008B1709"/>
    <w:rsid w:val="008B1DB6"/>
    <w:rsid w:val="008B2821"/>
    <w:rsid w:val="008B37BD"/>
    <w:rsid w:val="008B3F86"/>
    <w:rsid w:val="008B4C8C"/>
    <w:rsid w:val="008B4CF6"/>
    <w:rsid w:val="008B5DB1"/>
    <w:rsid w:val="008B6C83"/>
    <w:rsid w:val="008B73F7"/>
    <w:rsid w:val="008B750B"/>
    <w:rsid w:val="008B7632"/>
    <w:rsid w:val="008C000C"/>
    <w:rsid w:val="008C0938"/>
    <w:rsid w:val="008C140F"/>
    <w:rsid w:val="008C1B36"/>
    <w:rsid w:val="008C1F3F"/>
    <w:rsid w:val="008C2D40"/>
    <w:rsid w:val="008C2EAC"/>
    <w:rsid w:val="008C4040"/>
    <w:rsid w:val="008C51FF"/>
    <w:rsid w:val="008C6922"/>
    <w:rsid w:val="008C6B7B"/>
    <w:rsid w:val="008C7923"/>
    <w:rsid w:val="008C7D60"/>
    <w:rsid w:val="008C7DB8"/>
    <w:rsid w:val="008D0438"/>
    <w:rsid w:val="008D0638"/>
    <w:rsid w:val="008D06C6"/>
    <w:rsid w:val="008D144F"/>
    <w:rsid w:val="008D1886"/>
    <w:rsid w:val="008D1C2C"/>
    <w:rsid w:val="008D3F78"/>
    <w:rsid w:val="008D406C"/>
    <w:rsid w:val="008D4AD2"/>
    <w:rsid w:val="008D53FA"/>
    <w:rsid w:val="008D5C5E"/>
    <w:rsid w:val="008D5D28"/>
    <w:rsid w:val="008D6788"/>
    <w:rsid w:val="008D7F88"/>
    <w:rsid w:val="008E237C"/>
    <w:rsid w:val="008E583A"/>
    <w:rsid w:val="008E61CB"/>
    <w:rsid w:val="008E6250"/>
    <w:rsid w:val="008E63AA"/>
    <w:rsid w:val="008E6C5A"/>
    <w:rsid w:val="008E6F42"/>
    <w:rsid w:val="008E6FFB"/>
    <w:rsid w:val="008E7041"/>
    <w:rsid w:val="008F07B5"/>
    <w:rsid w:val="008F0B31"/>
    <w:rsid w:val="008F1BE2"/>
    <w:rsid w:val="008F2E6F"/>
    <w:rsid w:val="008F327F"/>
    <w:rsid w:val="008F476D"/>
    <w:rsid w:val="008F49D3"/>
    <w:rsid w:val="008F561C"/>
    <w:rsid w:val="008F6149"/>
    <w:rsid w:val="008F6478"/>
    <w:rsid w:val="008F6528"/>
    <w:rsid w:val="008F7097"/>
    <w:rsid w:val="008F7269"/>
    <w:rsid w:val="008F7790"/>
    <w:rsid w:val="00900B64"/>
    <w:rsid w:val="00900C82"/>
    <w:rsid w:val="00900EE7"/>
    <w:rsid w:val="00901004"/>
    <w:rsid w:val="00902542"/>
    <w:rsid w:val="00902AF6"/>
    <w:rsid w:val="00903296"/>
    <w:rsid w:val="00904C70"/>
    <w:rsid w:val="009050C5"/>
    <w:rsid w:val="0090566A"/>
    <w:rsid w:val="00906421"/>
    <w:rsid w:val="00906C37"/>
    <w:rsid w:val="00907923"/>
    <w:rsid w:val="00911344"/>
    <w:rsid w:val="00911CE6"/>
    <w:rsid w:val="0091229B"/>
    <w:rsid w:val="00912630"/>
    <w:rsid w:val="009129C4"/>
    <w:rsid w:val="00913A04"/>
    <w:rsid w:val="00914030"/>
    <w:rsid w:val="00915CD8"/>
    <w:rsid w:val="009170A1"/>
    <w:rsid w:val="00917FFC"/>
    <w:rsid w:val="00920249"/>
    <w:rsid w:val="00920DDC"/>
    <w:rsid w:val="00922170"/>
    <w:rsid w:val="00923B65"/>
    <w:rsid w:val="00923BF5"/>
    <w:rsid w:val="00924B26"/>
    <w:rsid w:val="00924C80"/>
    <w:rsid w:val="00925A28"/>
    <w:rsid w:val="00927994"/>
    <w:rsid w:val="0093078D"/>
    <w:rsid w:val="0093196F"/>
    <w:rsid w:val="00931BAB"/>
    <w:rsid w:val="00932F14"/>
    <w:rsid w:val="009334EC"/>
    <w:rsid w:val="009341EF"/>
    <w:rsid w:val="0093454A"/>
    <w:rsid w:val="0093495D"/>
    <w:rsid w:val="00935356"/>
    <w:rsid w:val="00935752"/>
    <w:rsid w:val="00935869"/>
    <w:rsid w:val="0093594B"/>
    <w:rsid w:val="009362E5"/>
    <w:rsid w:val="0093632E"/>
    <w:rsid w:val="009375E3"/>
    <w:rsid w:val="009377D5"/>
    <w:rsid w:val="00940226"/>
    <w:rsid w:val="00940D99"/>
    <w:rsid w:val="00940E9B"/>
    <w:rsid w:val="00942030"/>
    <w:rsid w:val="0094247F"/>
    <w:rsid w:val="009424F3"/>
    <w:rsid w:val="00942840"/>
    <w:rsid w:val="00942D60"/>
    <w:rsid w:val="009436F2"/>
    <w:rsid w:val="00943AF7"/>
    <w:rsid w:val="00944BA4"/>
    <w:rsid w:val="0094607F"/>
    <w:rsid w:val="00947D34"/>
    <w:rsid w:val="00950FBD"/>
    <w:rsid w:val="00951979"/>
    <w:rsid w:val="00951A67"/>
    <w:rsid w:val="00951E04"/>
    <w:rsid w:val="0095200F"/>
    <w:rsid w:val="00953F41"/>
    <w:rsid w:val="00954B9E"/>
    <w:rsid w:val="009551E8"/>
    <w:rsid w:val="00956C1B"/>
    <w:rsid w:val="00957025"/>
    <w:rsid w:val="00957607"/>
    <w:rsid w:val="00957692"/>
    <w:rsid w:val="009603EB"/>
    <w:rsid w:val="0096050C"/>
    <w:rsid w:val="00960BCF"/>
    <w:rsid w:val="00962069"/>
    <w:rsid w:val="0096272F"/>
    <w:rsid w:val="00964841"/>
    <w:rsid w:val="0096523B"/>
    <w:rsid w:val="009656D1"/>
    <w:rsid w:val="00965CEF"/>
    <w:rsid w:val="00965DE2"/>
    <w:rsid w:val="00966EE3"/>
    <w:rsid w:val="00967D1C"/>
    <w:rsid w:val="00970FDF"/>
    <w:rsid w:val="0097107D"/>
    <w:rsid w:val="00972D06"/>
    <w:rsid w:val="00973C49"/>
    <w:rsid w:val="00974006"/>
    <w:rsid w:val="0097511A"/>
    <w:rsid w:val="00975C4D"/>
    <w:rsid w:val="00975FF8"/>
    <w:rsid w:val="00976227"/>
    <w:rsid w:val="00977D46"/>
    <w:rsid w:val="009800C6"/>
    <w:rsid w:val="009809D1"/>
    <w:rsid w:val="00980B05"/>
    <w:rsid w:val="0098180E"/>
    <w:rsid w:val="00981B69"/>
    <w:rsid w:val="00981BA4"/>
    <w:rsid w:val="00981C2D"/>
    <w:rsid w:val="00981CE9"/>
    <w:rsid w:val="009825B8"/>
    <w:rsid w:val="00983E75"/>
    <w:rsid w:val="00984F6F"/>
    <w:rsid w:val="00985159"/>
    <w:rsid w:val="00985AE9"/>
    <w:rsid w:val="0098651F"/>
    <w:rsid w:val="0098705D"/>
    <w:rsid w:val="0098723F"/>
    <w:rsid w:val="00987F3E"/>
    <w:rsid w:val="00990666"/>
    <w:rsid w:val="00990E13"/>
    <w:rsid w:val="0099152D"/>
    <w:rsid w:val="00991FB8"/>
    <w:rsid w:val="009925D7"/>
    <w:rsid w:val="009925DC"/>
    <w:rsid w:val="00992CCC"/>
    <w:rsid w:val="00993582"/>
    <w:rsid w:val="00994863"/>
    <w:rsid w:val="00994EAA"/>
    <w:rsid w:val="00994EBF"/>
    <w:rsid w:val="00995C03"/>
    <w:rsid w:val="00996A62"/>
    <w:rsid w:val="009A192B"/>
    <w:rsid w:val="009A2004"/>
    <w:rsid w:val="009A2318"/>
    <w:rsid w:val="009A34DF"/>
    <w:rsid w:val="009A3861"/>
    <w:rsid w:val="009A391C"/>
    <w:rsid w:val="009A3D6A"/>
    <w:rsid w:val="009A50F2"/>
    <w:rsid w:val="009A555C"/>
    <w:rsid w:val="009A5DF0"/>
    <w:rsid w:val="009A749B"/>
    <w:rsid w:val="009A7894"/>
    <w:rsid w:val="009B0239"/>
    <w:rsid w:val="009B046F"/>
    <w:rsid w:val="009B04F1"/>
    <w:rsid w:val="009B2148"/>
    <w:rsid w:val="009B26DA"/>
    <w:rsid w:val="009B2D12"/>
    <w:rsid w:val="009B4E62"/>
    <w:rsid w:val="009B4E88"/>
    <w:rsid w:val="009B74A2"/>
    <w:rsid w:val="009B7DA3"/>
    <w:rsid w:val="009C021C"/>
    <w:rsid w:val="009C0275"/>
    <w:rsid w:val="009C034D"/>
    <w:rsid w:val="009C0D27"/>
    <w:rsid w:val="009C0E2C"/>
    <w:rsid w:val="009C23CD"/>
    <w:rsid w:val="009C254F"/>
    <w:rsid w:val="009C26BD"/>
    <w:rsid w:val="009C4322"/>
    <w:rsid w:val="009C6C06"/>
    <w:rsid w:val="009C71F8"/>
    <w:rsid w:val="009D1478"/>
    <w:rsid w:val="009D1A5A"/>
    <w:rsid w:val="009D1E1C"/>
    <w:rsid w:val="009D23FB"/>
    <w:rsid w:val="009D2973"/>
    <w:rsid w:val="009D2A89"/>
    <w:rsid w:val="009D2EE0"/>
    <w:rsid w:val="009D2F52"/>
    <w:rsid w:val="009D3D9F"/>
    <w:rsid w:val="009D479E"/>
    <w:rsid w:val="009D572A"/>
    <w:rsid w:val="009D633A"/>
    <w:rsid w:val="009D694B"/>
    <w:rsid w:val="009D6C08"/>
    <w:rsid w:val="009D790B"/>
    <w:rsid w:val="009D7C90"/>
    <w:rsid w:val="009E0A61"/>
    <w:rsid w:val="009E0D40"/>
    <w:rsid w:val="009E2026"/>
    <w:rsid w:val="009E248B"/>
    <w:rsid w:val="009E3010"/>
    <w:rsid w:val="009E6C56"/>
    <w:rsid w:val="009E7ABE"/>
    <w:rsid w:val="009F007E"/>
    <w:rsid w:val="009F0455"/>
    <w:rsid w:val="009F1B0C"/>
    <w:rsid w:val="009F1B32"/>
    <w:rsid w:val="009F4F98"/>
    <w:rsid w:val="009F53A3"/>
    <w:rsid w:val="009F62C8"/>
    <w:rsid w:val="009F62F1"/>
    <w:rsid w:val="009F7065"/>
    <w:rsid w:val="00A01625"/>
    <w:rsid w:val="00A01EB4"/>
    <w:rsid w:val="00A0356F"/>
    <w:rsid w:val="00A053FB"/>
    <w:rsid w:val="00A06026"/>
    <w:rsid w:val="00A06134"/>
    <w:rsid w:val="00A0785B"/>
    <w:rsid w:val="00A1113F"/>
    <w:rsid w:val="00A11473"/>
    <w:rsid w:val="00A12B44"/>
    <w:rsid w:val="00A139E9"/>
    <w:rsid w:val="00A1417D"/>
    <w:rsid w:val="00A14E1B"/>
    <w:rsid w:val="00A1521E"/>
    <w:rsid w:val="00A1557E"/>
    <w:rsid w:val="00A15C3A"/>
    <w:rsid w:val="00A160D7"/>
    <w:rsid w:val="00A17184"/>
    <w:rsid w:val="00A1733F"/>
    <w:rsid w:val="00A20235"/>
    <w:rsid w:val="00A21EAE"/>
    <w:rsid w:val="00A23F25"/>
    <w:rsid w:val="00A2505D"/>
    <w:rsid w:val="00A251D3"/>
    <w:rsid w:val="00A25C11"/>
    <w:rsid w:val="00A26233"/>
    <w:rsid w:val="00A2754F"/>
    <w:rsid w:val="00A3009B"/>
    <w:rsid w:val="00A300BB"/>
    <w:rsid w:val="00A31C6F"/>
    <w:rsid w:val="00A322EE"/>
    <w:rsid w:val="00A33BB0"/>
    <w:rsid w:val="00A347B9"/>
    <w:rsid w:val="00A34A8E"/>
    <w:rsid w:val="00A35392"/>
    <w:rsid w:val="00A35EA9"/>
    <w:rsid w:val="00A36AB2"/>
    <w:rsid w:val="00A36C3F"/>
    <w:rsid w:val="00A37440"/>
    <w:rsid w:val="00A40193"/>
    <w:rsid w:val="00A406A9"/>
    <w:rsid w:val="00A4087C"/>
    <w:rsid w:val="00A40898"/>
    <w:rsid w:val="00A40C33"/>
    <w:rsid w:val="00A40C34"/>
    <w:rsid w:val="00A4175D"/>
    <w:rsid w:val="00A41B68"/>
    <w:rsid w:val="00A42C8E"/>
    <w:rsid w:val="00A42EB2"/>
    <w:rsid w:val="00A4335C"/>
    <w:rsid w:val="00A43A9E"/>
    <w:rsid w:val="00A43AA5"/>
    <w:rsid w:val="00A44DA2"/>
    <w:rsid w:val="00A459E2"/>
    <w:rsid w:val="00A477EA"/>
    <w:rsid w:val="00A5112C"/>
    <w:rsid w:val="00A513F7"/>
    <w:rsid w:val="00A51528"/>
    <w:rsid w:val="00A51A31"/>
    <w:rsid w:val="00A51FFE"/>
    <w:rsid w:val="00A52210"/>
    <w:rsid w:val="00A5293F"/>
    <w:rsid w:val="00A5417D"/>
    <w:rsid w:val="00A54934"/>
    <w:rsid w:val="00A54EB0"/>
    <w:rsid w:val="00A54FA4"/>
    <w:rsid w:val="00A551C7"/>
    <w:rsid w:val="00A5532E"/>
    <w:rsid w:val="00A56338"/>
    <w:rsid w:val="00A56DC7"/>
    <w:rsid w:val="00A56E34"/>
    <w:rsid w:val="00A5746B"/>
    <w:rsid w:val="00A57AE9"/>
    <w:rsid w:val="00A6042D"/>
    <w:rsid w:val="00A6253B"/>
    <w:rsid w:val="00A62689"/>
    <w:rsid w:val="00A62D43"/>
    <w:rsid w:val="00A630F1"/>
    <w:rsid w:val="00A63286"/>
    <w:rsid w:val="00A6597C"/>
    <w:rsid w:val="00A70BB2"/>
    <w:rsid w:val="00A70E7D"/>
    <w:rsid w:val="00A71540"/>
    <w:rsid w:val="00A716A7"/>
    <w:rsid w:val="00A7216B"/>
    <w:rsid w:val="00A729A7"/>
    <w:rsid w:val="00A73954"/>
    <w:rsid w:val="00A7408A"/>
    <w:rsid w:val="00A7460F"/>
    <w:rsid w:val="00A74FD1"/>
    <w:rsid w:val="00A75FF7"/>
    <w:rsid w:val="00A76FD8"/>
    <w:rsid w:val="00A77128"/>
    <w:rsid w:val="00A77525"/>
    <w:rsid w:val="00A7781A"/>
    <w:rsid w:val="00A77E35"/>
    <w:rsid w:val="00A80BC9"/>
    <w:rsid w:val="00A81FC8"/>
    <w:rsid w:val="00A83139"/>
    <w:rsid w:val="00A84A58"/>
    <w:rsid w:val="00A84BAB"/>
    <w:rsid w:val="00A85644"/>
    <w:rsid w:val="00A859A0"/>
    <w:rsid w:val="00A85C2C"/>
    <w:rsid w:val="00A866C9"/>
    <w:rsid w:val="00A866FF"/>
    <w:rsid w:val="00A86C9C"/>
    <w:rsid w:val="00A8703F"/>
    <w:rsid w:val="00A870AD"/>
    <w:rsid w:val="00A87232"/>
    <w:rsid w:val="00A879C3"/>
    <w:rsid w:val="00A90997"/>
    <w:rsid w:val="00A90A6E"/>
    <w:rsid w:val="00A90A9E"/>
    <w:rsid w:val="00A90DAA"/>
    <w:rsid w:val="00A90E9C"/>
    <w:rsid w:val="00A91DF1"/>
    <w:rsid w:val="00A92AC5"/>
    <w:rsid w:val="00A93002"/>
    <w:rsid w:val="00A93D4C"/>
    <w:rsid w:val="00A94D02"/>
    <w:rsid w:val="00A966E7"/>
    <w:rsid w:val="00A96F9D"/>
    <w:rsid w:val="00A9749F"/>
    <w:rsid w:val="00A9798C"/>
    <w:rsid w:val="00AA0321"/>
    <w:rsid w:val="00AA2A9A"/>
    <w:rsid w:val="00AA4058"/>
    <w:rsid w:val="00AA4971"/>
    <w:rsid w:val="00AA56BA"/>
    <w:rsid w:val="00AA5E08"/>
    <w:rsid w:val="00AA65EE"/>
    <w:rsid w:val="00AA72E3"/>
    <w:rsid w:val="00AA7C31"/>
    <w:rsid w:val="00AB224D"/>
    <w:rsid w:val="00AB4113"/>
    <w:rsid w:val="00AB4651"/>
    <w:rsid w:val="00AB5913"/>
    <w:rsid w:val="00AB59B1"/>
    <w:rsid w:val="00AB5AF4"/>
    <w:rsid w:val="00AB6A4C"/>
    <w:rsid w:val="00AB7E97"/>
    <w:rsid w:val="00AC0651"/>
    <w:rsid w:val="00AC08D3"/>
    <w:rsid w:val="00AC2044"/>
    <w:rsid w:val="00AC38C9"/>
    <w:rsid w:val="00AC437C"/>
    <w:rsid w:val="00AC481A"/>
    <w:rsid w:val="00AC5C0D"/>
    <w:rsid w:val="00AD22F9"/>
    <w:rsid w:val="00AD2384"/>
    <w:rsid w:val="00AD38F3"/>
    <w:rsid w:val="00AD3B5D"/>
    <w:rsid w:val="00AD3E69"/>
    <w:rsid w:val="00AD4DC3"/>
    <w:rsid w:val="00AD53F7"/>
    <w:rsid w:val="00AD558B"/>
    <w:rsid w:val="00AD57A1"/>
    <w:rsid w:val="00AD5B1B"/>
    <w:rsid w:val="00AD6B23"/>
    <w:rsid w:val="00AD7A3D"/>
    <w:rsid w:val="00AE092D"/>
    <w:rsid w:val="00AE12A0"/>
    <w:rsid w:val="00AE15FD"/>
    <w:rsid w:val="00AE1A7C"/>
    <w:rsid w:val="00AE1F77"/>
    <w:rsid w:val="00AE2699"/>
    <w:rsid w:val="00AE3C09"/>
    <w:rsid w:val="00AE3F7B"/>
    <w:rsid w:val="00AE4E6E"/>
    <w:rsid w:val="00AE705E"/>
    <w:rsid w:val="00AE766D"/>
    <w:rsid w:val="00AE795F"/>
    <w:rsid w:val="00AF06FC"/>
    <w:rsid w:val="00AF196C"/>
    <w:rsid w:val="00AF1BA5"/>
    <w:rsid w:val="00AF205E"/>
    <w:rsid w:val="00AF2349"/>
    <w:rsid w:val="00AF29D5"/>
    <w:rsid w:val="00AF2F76"/>
    <w:rsid w:val="00AF3391"/>
    <w:rsid w:val="00AF387F"/>
    <w:rsid w:val="00AF3AA9"/>
    <w:rsid w:val="00AF3B1B"/>
    <w:rsid w:val="00AF425E"/>
    <w:rsid w:val="00AF6179"/>
    <w:rsid w:val="00AF6302"/>
    <w:rsid w:val="00AF6503"/>
    <w:rsid w:val="00AF7ACD"/>
    <w:rsid w:val="00AF7F3E"/>
    <w:rsid w:val="00AF7FC7"/>
    <w:rsid w:val="00B00E7F"/>
    <w:rsid w:val="00B01207"/>
    <w:rsid w:val="00B01536"/>
    <w:rsid w:val="00B01699"/>
    <w:rsid w:val="00B01A8B"/>
    <w:rsid w:val="00B027A9"/>
    <w:rsid w:val="00B02E23"/>
    <w:rsid w:val="00B03A60"/>
    <w:rsid w:val="00B04183"/>
    <w:rsid w:val="00B046DF"/>
    <w:rsid w:val="00B0474E"/>
    <w:rsid w:val="00B04AA4"/>
    <w:rsid w:val="00B04DF5"/>
    <w:rsid w:val="00B04EFB"/>
    <w:rsid w:val="00B051B2"/>
    <w:rsid w:val="00B05414"/>
    <w:rsid w:val="00B05CD2"/>
    <w:rsid w:val="00B06537"/>
    <w:rsid w:val="00B070DD"/>
    <w:rsid w:val="00B11721"/>
    <w:rsid w:val="00B11F41"/>
    <w:rsid w:val="00B12983"/>
    <w:rsid w:val="00B12B6C"/>
    <w:rsid w:val="00B1305C"/>
    <w:rsid w:val="00B13222"/>
    <w:rsid w:val="00B1359D"/>
    <w:rsid w:val="00B1470F"/>
    <w:rsid w:val="00B1504D"/>
    <w:rsid w:val="00B155BB"/>
    <w:rsid w:val="00B15B4C"/>
    <w:rsid w:val="00B16788"/>
    <w:rsid w:val="00B173DA"/>
    <w:rsid w:val="00B2011D"/>
    <w:rsid w:val="00B201D5"/>
    <w:rsid w:val="00B205A8"/>
    <w:rsid w:val="00B205C1"/>
    <w:rsid w:val="00B20C6D"/>
    <w:rsid w:val="00B21AC5"/>
    <w:rsid w:val="00B21DCC"/>
    <w:rsid w:val="00B2212E"/>
    <w:rsid w:val="00B221FA"/>
    <w:rsid w:val="00B229A4"/>
    <w:rsid w:val="00B2343B"/>
    <w:rsid w:val="00B24364"/>
    <w:rsid w:val="00B24522"/>
    <w:rsid w:val="00B24AFD"/>
    <w:rsid w:val="00B25114"/>
    <w:rsid w:val="00B259BB"/>
    <w:rsid w:val="00B25D37"/>
    <w:rsid w:val="00B25E13"/>
    <w:rsid w:val="00B25F37"/>
    <w:rsid w:val="00B2656C"/>
    <w:rsid w:val="00B27B57"/>
    <w:rsid w:val="00B27D16"/>
    <w:rsid w:val="00B30507"/>
    <w:rsid w:val="00B309DF"/>
    <w:rsid w:val="00B309FF"/>
    <w:rsid w:val="00B30C52"/>
    <w:rsid w:val="00B3175C"/>
    <w:rsid w:val="00B321F4"/>
    <w:rsid w:val="00B3252F"/>
    <w:rsid w:val="00B32F9F"/>
    <w:rsid w:val="00B34631"/>
    <w:rsid w:val="00B348C6"/>
    <w:rsid w:val="00B35622"/>
    <w:rsid w:val="00B363B8"/>
    <w:rsid w:val="00B4027E"/>
    <w:rsid w:val="00B41C75"/>
    <w:rsid w:val="00B4332F"/>
    <w:rsid w:val="00B439AA"/>
    <w:rsid w:val="00B44422"/>
    <w:rsid w:val="00B44845"/>
    <w:rsid w:val="00B44E94"/>
    <w:rsid w:val="00B46EA0"/>
    <w:rsid w:val="00B51E03"/>
    <w:rsid w:val="00B52236"/>
    <w:rsid w:val="00B52730"/>
    <w:rsid w:val="00B533F7"/>
    <w:rsid w:val="00B537D2"/>
    <w:rsid w:val="00B541E3"/>
    <w:rsid w:val="00B546A6"/>
    <w:rsid w:val="00B54EF7"/>
    <w:rsid w:val="00B55392"/>
    <w:rsid w:val="00B55AD0"/>
    <w:rsid w:val="00B5625B"/>
    <w:rsid w:val="00B56340"/>
    <w:rsid w:val="00B56685"/>
    <w:rsid w:val="00B567BD"/>
    <w:rsid w:val="00B5713E"/>
    <w:rsid w:val="00B5747B"/>
    <w:rsid w:val="00B57F22"/>
    <w:rsid w:val="00B60C11"/>
    <w:rsid w:val="00B620B9"/>
    <w:rsid w:val="00B638FC"/>
    <w:rsid w:val="00B63F76"/>
    <w:rsid w:val="00B650A0"/>
    <w:rsid w:val="00B6618A"/>
    <w:rsid w:val="00B66B9C"/>
    <w:rsid w:val="00B678B8"/>
    <w:rsid w:val="00B7057E"/>
    <w:rsid w:val="00B71245"/>
    <w:rsid w:val="00B71C60"/>
    <w:rsid w:val="00B71F51"/>
    <w:rsid w:val="00B728BB"/>
    <w:rsid w:val="00B7290A"/>
    <w:rsid w:val="00B731D3"/>
    <w:rsid w:val="00B73467"/>
    <w:rsid w:val="00B73C00"/>
    <w:rsid w:val="00B74574"/>
    <w:rsid w:val="00B74931"/>
    <w:rsid w:val="00B75889"/>
    <w:rsid w:val="00B758DE"/>
    <w:rsid w:val="00B75E1C"/>
    <w:rsid w:val="00B75E8B"/>
    <w:rsid w:val="00B7767F"/>
    <w:rsid w:val="00B8001C"/>
    <w:rsid w:val="00B80273"/>
    <w:rsid w:val="00B810B1"/>
    <w:rsid w:val="00B813F6"/>
    <w:rsid w:val="00B83669"/>
    <w:rsid w:val="00B83958"/>
    <w:rsid w:val="00B839A3"/>
    <w:rsid w:val="00B83A04"/>
    <w:rsid w:val="00B840C7"/>
    <w:rsid w:val="00B84D77"/>
    <w:rsid w:val="00B853C4"/>
    <w:rsid w:val="00B853D2"/>
    <w:rsid w:val="00B86E10"/>
    <w:rsid w:val="00B8737A"/>
    <w:rsid w:val="00B902BD"/>
    <w:rsid w:val="00B90D78"/>
    <w:rsid w:val="00B911DD"/>
    <w:rsid w:val="00B9131B"/>
    <w:rsid w:val="00B936B2"/>
    <w:rsid w:val="00B93B9B"/>
    <w:rsid w:val="00B94543"/>
    <w:rsid w:val="00B94AA4"/>
    <w:rsid w:val="00B94AAC"/>
    <w:rsid w:val="00B95D66"/>
    <w:rsid w:val="00B95D7A"/>
    <w:rsid w:val="00B96475"/>
    <w:rsid w:val="00B9694C"/>
    <w:rsid w:val="00B972EE"/>
    <w:rsid w:val="00B974FE"/>
    <w:rsid w:val="00BA00AE"/>
    <w:rsid w:val="00BA02D9"/>
    <w:rsid w:val="00BA11FE"/>
    <w:rsid w:val="00BA1AF8"/>
    <w:rsid w:val="00BA1EFD"/>
    <w:rsid w:val="00BA24E2"/>
    <w:rsid w:val="00BA28E3"/>
    <w:rsid w:val="00BA316A"/>
    <w:rsid w:val="00BA3D93"/>
    <w:rsid w:val="00BA4AD8"/>
    <w:rsid w:val="00BA5CED"/>
    <w:rsid w:val="00BA6651"/>
    <w:rsid w:val="00BA76EC"/>
    <w:rsid w:val="00BB1A70"/>
    <w:rsid w:val="00BB1D9A"/>
    <w:rsid w:val="00BB25AB"/>
    <w:rsid w:val="00BB4143"/>
    <w:rsid w:val="00BB7D7F"/>
    <w:rsid w:val="00BC06F3"/>
    <w:rsid w:val="00BC18B4"/>
    <w:rsid w:val="00BC264C"/>
    <w:rsid w:val="00BC3899"/>
    <w:rsid w:val="00BC392A"/>
    <w:rsid w:val="00BC5262"/>
    <w:rsid w:val="00BC5635"/>
    <w:rsid w:val="00BC56AE"/>
    <w:rsid w:val="00BC625E"/>
    <w:rsid w:val="00BC6746"/>
    <w:rsid w:val="00BC6A5D"/>
    <w:rsid w:val="00BC7933"/>
    <w:rsid w:val="00BC7B1A"/>
    <w:rsid w:val="00BD020C"/>
    <w:rsid w:val="00BD0B14"/>
    <w:rsid w:val="00BD235A"/>
    <w:rsid w:val="00BD2A39"/>
    <w:rsid w:val="00BD2E80"/>
    <w:rsid w:val="00BD3B4F"/>
    <w:rsid w:val="00BD432B"/>
    <w:rsid w:val="00BD4511"/>
    <w:rsid w:val="00BD476F"/>
    <w:rsid w:val="00BD49E2"/>
    <w:rsid w:val="00BD4D34"/>
    <w:rsid w:val="00BD4EE5"/>
    <w:rsid w:val="00BD5007"/>
    <w:rsid w:val="00BE1115"/>
    <w:rsid w:val="00BE11B8"/>
    <w:rsid w:val="00BE2402"/>
    <w:rsid w:val="00BE25BE"/>
    <w:rsid w:val="00BE3818"/>
    <w:rsid w:val="00BE38E7"/>
    <w:rsid w:val="00BE59C9"/>
    <w:rsid w:val="00BE634A"/>
    <w:rsid w:val="00BE7852"/>
    <w:rsid w:val="00BF0023"/>
    <w:rsid w:val="00BF0B2E"/>
    <w:rsid w:val="00BF0D96"/>
    <w:rsid w:val="00BF1D98"/>
    <w:rsid w:val="00BF249A"/>
    <w:rsid w:val="00BF25D2"/>
    <w:rsid w:val="00BF2F62"/>
    <w:rsid w:val="00BF2FDA"/>
    <w:rsid w:val="00BF38A9"/>
    <w:rsid w:val="00BF3F40"/>
    <w:rsid w:val="00BF6A7B"/>
    <w:rsid w:val="00BF73F8"/>
    <w:rsid w:val="00BF7FF0"/>
    <w:rsid w:val="00C002A2"/>
    <w:rsid w:val="00C01333"/>
    <w:rsid w:val="00C01690"/>
    <w:rsid w:val="00C02F36"/>
    <w:rsid w:val="00C030AD"/>
    <w:rsid w:val="00C0363F"/>
    <w:rsid w:val="00C044BB"/>
    <w:rsid w:val="00C053B1"/>
    <w:rsid w:val="00C058A3"/>
    <w:rsid w:val="00C05B84"/>
    <w:rsid w:val="00C06356"/>
    <w:rsid w:val="00C06F1F"/>
    <w:rsid w:val="00C079C0"/>
    <w:rsid w:val="00C10E97"/>
    <w:rsid w:val="00C11B68"/>
    <w:rsid w:val="00C11E08"/>
    <w:rsid w:val="00C12502"/>
    <w:rsid w:val="00C1266C"/>
    <w:rsid w:val="00C129FC"/>
    <w:rsid w:val="00C12BAA"/>
    <w:rsid w:val="00C12CC1"/>
    <w:rsid w:val="00C13251"/>
    <w:rsid w:val="00C133F9"/>
    <w:rsid w:val="00C13913"/>
    <w:rsid w:val="00C14075"/>
    <w:rsid w:val="00C14D3B"/>
    <w:rsid w:val="00C14FD2"/>
    <w:rsid w:val="00C15B60"/>
    <w:rsid w:val="00C164A9"/>
    <w:rsid w:val="00C16618"/>
    <w:rsid w:val="00C1704D"/>
    <w:rsid w:val="00C20229"/>
    <w:rsid w:val="00C20412"/>
    <w:rsid w:val="00C20465"/>
    <w:rsid w:val="00C211E0"/>
    <w:rsid w:val="00C22ABE"/>
    <w:rsid w:val="00C22BC8"/>
    <w:rsid w:val="00C22D85"/>
    <w:rsid w:val="00C23194"/>
    <w:rsid w:val="00C23C9E"/>
    <w:rsid w:val="00C24E9F"/>
    <w:rsid w:val="00C2574B"/>
    <w:rsid w:val="00C25770"/>
    <w:rsid w:val="00C274F1"/>
    <w:rsid w:val="00C2792E"/>
    <w:rsid w:val="00C30C44"/>
    <w:rsid w:val="00C312A6"/>
    <w:rsid w:val="00C313E2"/>
    <w:rsid w:val="00C319A7"/>
    <w:rsid w:val="00C31ACE"/>
    <w:rsid w:val="00C31DA3"/>
    <w:rsid w:val="00C326AB"/>
    <w:rsid w:val="00C32995"/>
    <w:rsid w:val="00C32B26"/>
    <w:rsid w:val="00C32E28"/>
    <w:rsid w:val="00C32F3A"/>
    <w:rsid w:val="00C331BB"/>
    <w:rsid w:val="00C34B09"/>
    <w:rsid w:val="00C356BF"/>
    <w:rsid w:val="00C357A2"/>
    <w:rsid w:val="00C36578"/>
    <w:rsid w:val="00C36781"/>
    <w:rsid w:val="00C36AFC"/>
    <w:rsid w:val="00C3734A"/>
    <w:rsid w:val="00C40054"/>
    <w:rsid w:val="00C401E3"/>
    <w:rsid w:val="00C40AA5"/>
    <w:rsid w:val="00C40EF7"/>
    <w:rsid w:val="00C4154C"/>
    <w:rsid w:val="00C4218E"/>
    <w:rsid w:val="00C42AE0"/>
    <w:rsid w:val="00C42E68"/>
    <w:rsid w:val="00C43055"/>
    <w:rsid w:val="00C44CEC"/>
    <w:rsid w:val="00C44E5E"/>
    <w:rsid w:val="00C46614"/>
    <w:rsid w:val="00C46618"/>
    <w:rsid w:val="00C46B97"/>
    <w:rsid w:val="00C46F70"/>
    <w:rsid w:val="00C47293"/>
    <w:rsid w:val="00C476D0"/>
    <w:rsid w:val="00C477BA"/>
    <w:rsid w:val="00C50293"/>
    <w:rsid w:val="00C50BDB"/>
    <w:rsid w:val="00C50E7C"/>
    <w:rsid w:val="00C526FA"/>
    <w:rsid w:val="00C52A7D"/>
    <w:rsid w:val="00C52D1D"/>
    <w:rsid w:val="00C53899"/>
    <w:rsid w:val="00C54335"/>
    <w:rsid w:val="00C54F1E"/>
    <w:rsid w:val="00C55A34"/>
    <w:rsid w:val="00C55E63"/>
    <w:rsid w:val="00C55E69"/>
    <w:rsid w:val="00C56C26"/>
    <w:rsid w:val="00C56F19"/>
    <w:rsid w:val="00C56F71"/>
    <w:rsid w:val="00C572F4"/>
    <w:rsid w:val="00C57EA8"/>
    <w:rsid w:val="00C60963"/>
    <w:rsid w:val="00C6099A"/>
    <w:rsid w:val="00C60F30"/>
    <w:rsid w:val="00C613ED"/>
    <w:rsid w:val="00C616A8"/>
    <w:rsid w:val="00C61E8D"/>
    <w:rsid w:val="00C62D0A"/>
    <w:rsid w:val="00C631A8"/>
    <w:rsid w:val="00C639EE"/>
    <w:rsid w:val="00C63CA8"/>
    <w:rsid w:val="00C646F4"/>
    <w:rsid w:val="00C64BD4"/>
    <w:rsid w:val="00C65327"/>
    <w:rsid w:val="00C65CCD"/>
    <w:rsid w:val="00C66854"/>
    <w:rsid w:val="00C66D79"/>
    <w:rsid w:val="00C67053"/>
    <w:rsid w:val="00C716A6"/>
    <w:rsid w:val="00C72185"/>
    <w:rsid w:val="00C73DF0"/>
    <w:rsid w:val="00C73F29"/>
    <w:rsid w:val="00C74C8A"/>
    <w:rsid w:val="00C7518F"/>
    <w:rsid w:val="00C7545E"/>
    <w:rsid w:val="00C77267"/>
    <w:rsid w:val="00C8162E"/>
    <w:rsid w:val="00C81988"/>
    <w:rsid w:val="00C81B13"/>
    <w:rsid w:val="00C81BF6"/>
    <w:rsid w:val="00C83335"/>
    <w:rsid w:val="00C836E3"/>
    <w:rsid w:val="00C83FB6"/>
    <w:rsid w:val="00C84DAF"/>
    <w:rsid w:val="00C84E1D"/>
    <w:rsid w:val="00C84FE9"/>
    <w:rsid w:val="00C85838"/>
    <w:rsid w:val="00C86577"/>
    <w:rsid w:val="00C87854"/>
    <w:rsid w:val="00C87C11"/>
    <w:rsid w:val="00C9066C"/>
    <w:rsid w:val="00C90A3B"/>
    <w:rsid w:val="00C91B1D"/>
    <w:rsid w:val="00C91E98"/>
    <w:rsid w:val="00C92E07"/>
    <w:rsid w:val="00C92F7E"/>
    <w:rsid w:val="00C93865"/>
    <w:rsid w:val="00C93DC1"/>
    <w:rsid w:val="00C93EB7"/>
    <w:rsid w:val="00C940A2"/>
    <w:rsid w:val="00C94513"/>
    <w:rsid w:val="00C94942"/>
    <w:rsid w:val="00C9507B"/>
    <w:rsid w:val="00C96385"/>
    <w:rsid w:val="00C96868"/>
    <w:rsid w:val="00C96A50"/>
    <w:rsid w:val="00C977D8"/>
    <w:rsid w:val="00C97EBD"/>
    <w:rsid w:val="00C97FC6"/>
    <w:rsid w:val="00CA0416"/>
    <w:rsid w:val="00CA1E68"/>
    <w:rsid w:val="00CA29B1"/>
    <w:rsid w:val="00CA3669"/>
    <w:rsid w:val="00CA41B3"/>
    <w:rsid w:val="00CA44F8"/>
    <w:rsid w:val="00CA46F7"/>
    <w:rsid w:val="00CA5C90"/>
    <w:rsid w:val="00CA62A5"/>
    <w:rsid w:val="00CA6CDC"/>
    <w:rsid w:val="00CA7AFF"/>
    <w:rsid w:val="00CB02E9"/>
    <w:rsid w:val="00CB1375"/>
    <w:rsid w:val="00CB1942"/>
    <w:rsid w:val="00CB201C"/>
    <w:rsid w:val="00CB2344"/>
    <w:rsid w:val="00CB299B"/>
    <w:rsid w:val="00CB2F63"/>
    <w:rsid w:val="00CB327C"/>
    <w:rsid w:val="00CB3A75"/>
    <w:rsid w:val="00CB3ADB"/>
    <w:rsid w:val="00CB5437"/>
    <w:rsid w:val="00CB5C05"/>
    <w:rsid w:val="00CB5C53"/>
    <w:rsid w:val="00CB64C0"/>
    <w:rsid w:val="00CB6535"/>
    <w:rsid w:val="00CB7AF8"/>
    <w:rsid w:val="00CC0F5E"/>
    <w:rsid w:val="00CC118F"/>
    <w:rsid w:val="00CC128C"/>
    <w:rsid w:val="00CC1381"/>
    <w:rsid w:val="00CC1DD3"/>
    <w:rsid w:val="00CC30CA"/>
    <w:rsid w:val="00CC30E5"/>
    <w:rsid w:val="00CC36E7"/>
    <w:rsid w:val="00CC3AD8"/>
    <w:rsid w:val="00CC3E4B"/>
    <w:rsid w:val="00CC4E1A"/>
    <w:rsid w:val="00CC4E77"/>
    <w:rsid w:val="00CC51C1"/>
    <w:rsid w:val="00CC560B"/>
    <w:rsid w:val="00CC568C"/>
    <w:rsid w:val="00CC63E4"/>
    <w:rsid w:val="00CC68A5"/>
    <w:rsid w:val="00CC6AB0"/>
    <w:rsid w:val="00CC6D2F"/>
    <w:rsid w:val="00CC75E2"/>
    <w:rsid w:val="00CC7857"/>
    <w:rsid w:val="00CC7D54"/>
    <w:rsid w:val="00CC7EC5"/>
    <w:rsid w:val="00CD19C9"/>
    <w:rsid w:val="00CD1D9F"/>
    <w:rsid w:val="00CD238F"/>
    <w:rsid w:val="00CD2494"/>
    <w:rsid w:val="00CD2DCE"/>
    <w:rsid w:val="00CD33AE"/>
    <w:rsid w:val="00CD39E3"/>
    <w:rsid w:val="00CD46EB"/>
    <w:rsid w:val="00CD6F5A"/>
    <w:rsid w:val="00CD7EBF"/>
    <w:rsid w:val="00CE244F"/>
    <w:rsid w:val="00CE25C8"/>
    <w:rsid w:val="00CE37F4"/>
    <w:rsid w:val="00CE4034"/>
    <w:rsid w:val="00CE4460"/>
    <w:rsid w:val="00CE44B2"/>
    <w:rsid w:val="00CE4925"/>
    <w:rsid w:val="00CE541A"/>
    <w:rsid w:val="00CE5BE8"/>
    <w:rsid w:val="00CE66AB"/>
    <w:rsid w:val="00CE6CD6"/>
    <w:rsid w:val="00CE7E22"/>
    <w:rsid w:val="00CF14C0"/>
    <w:rsid w:val="00CF2327"/>
    <w:rsid w:val="00CF3012"/>
    <w:rsid w:val="00CF3038"/>
    <w:rsid w:val="00CF3994"/>
    <w:rsid w:val="00CF3C9B"/>
    <w:rsid w:val="00CF4A39"/>
    <w:rsid w:val="00CF4A3E"/>
    <w:rsid w:val="00CF5C09"/>
    <w:rsid w:val="00CF60D4"/>
    <w:rsid w:val="00CF6514"/>
    <w:rsid w:val="00CF77F8"/>
    <w:rsid w:val="00CF7A56"/>
    <w:rsid w:val="00D01647"/>
    <w:rsid w:val="00D016B8"/>
    <w:rsid w:val="00D01888"/>
    <w:rsid w:val="00D022CC"/>
    <w:rsid w:val="00D02B6C"/>
    <w:rsid w:val="00D02B85"/>
    <w:rsid w:val="00D02D3E"/>
    <w:rsid w:val="00D03209"/>
    <w:rsid w:val="00D03DA9"/>
    <w:rsid w:val="00D049B8"/>
    <w:rsid w:val="00D05370"/>
    <w:rsid w:val="00D056F1"/>
    <w:rsid w:val="00D05AA3"/>
    <w:rsid w:val="00D062E4"/>
    <w:rsid w:val="00D06EE2"/>
    <w:rsid w:val="00D06FF7"/>
    <w:rsid w:val="00D071DF"/>
    <w:rsid w:val="00D11171"/>
    <w:rsid w:val="00D119ED"/>
    <w:rsid w:val="00D11F1B"/>
    <w:rsid w:val="00D12337"/>
    <w:rsid w:val="00D127C7"/>
    <w:rsid w:val="00D12FC0"/>
    <w:rsid w:val="00D14157"/>
    <w:rsid w:val="00D14393"/>
    <w:rsid w:val="00D14405"/>
    <w:rsid w:val="00D149E8"/>
    <w:rsid w:val="00D16A4F"/>
    <w:rsid w:val="00D16DE5"/>
    <w:rsid w:val="00D1723E"/>
    <w:rsid w:val="00D1786F"/>
    <w:rsid w:val="00D22017"/>
    <w:rsid w:val="00D22652"/>
    <w:rsid w:val="00D2268B"/>
    <w:rsid w:val="00D22F3C"/>
    <w:rsid w:val="00D2354A"/>
    <w:rsid w:val="00D23B1F"/>
    <w:rsid w:val="00D23DB6"/>
    <w:rsid w:val="00D24C17"/>
    <w:rsid w:val="00D26183"/>
    <w:rsid w:val="00D26814"/>
    <w:rsid w:val="00D26D5D"/>
    <w:rsid w:val="00D30B1A"/>
    <w:rsid w:val="00D30D46"/>
    <w:rsid w:val="00D3171B"/>
    <w:rsid w:val="00D31ABF"/>
    <w:rsid w:val="00D31FB6"/>
    <w:rsid w:val="00D321C6"/>
    <w:rsid w:val="00D331FF"/>
    <w:rsid w:val="00D355C5"/>
    <w:rsid w:val="00D35E20"/>
    <w:rsid w:val="00D3641E"/>
    <w:rsid w:val="00D3646B"/>
    <w:rsid w:val="00D3646E"/>
    <w:rsid w:val="00D3689F"/>
    <w:rsid w:val="00D36C72"/>
    <w:rsid w:val="00D40376"/>
    <w:rsid w:val="00D41FB4"/>
    <w:rsid w:val="00D42314"/>
    <w:rsid w:val="00D4341A"/>
    <w:rsid w:val="00D439F1"/>
    <w:rsid w:val="00D43FE6"/>
    <w:rsid w:val="00D443AA"/>
    <w:rsid w:val="00D450D5"/>
    <w:rsid w:val="00D45341"/>
    <w:rsid w:val="00D45629"/>
    <w:rsid w:val="00D4581A"/>
    <w:rsid w:val="00D45B7E"/>
    <w:rsid w:val="00D46FBE"/>
    <w:rsid w:val="00D5095B"/>
    <w:rsid w:val="00D51A95"/>
    <w:rsid w:val="00D51F91"/>
    <w:rsid w:val="00D527B6"/>
    <w:rsid w:val="00D52C4A"/>
    <w:rsid w:val="00D53297"/>
    <w:rsid w:val="00D5380D"/>
    <w:rsid w:val="00D53FB0"/>
    <w:rsid w:val="00D548DD"/>
    <w:rsid w:val="00D5582F"/>
    <w:rsid w:val="00D55DC1"/>
    <w:rsid w:val="00D56891"/>
    <w:rsid w:val="00D5766E"/>
    <w:rsid w:val="00D60234"/>
    <w:rsid w:val="00D60568"/>
    <w:rsid w:val="00D61359"/>
    <w:rsid w:val="00D614EA"/>
    <w:rsid w:val="00D61560"/>
    <w:rsid w:val="00D61B75"/>
    <w:rsid w:val="00D62531"/>
    <w:rsid w:val="00D62A43"/>
    <w:rsid w:val="00D63697"/>
    <w:rsid w:val="00D6407A"/>
    <w:rsid w:val="00D64E1F"/>
    <w:rsid w:val="00D64EFF"/>
    <w:rsid w:val="00D6633C"/>
    <w:rsid w:val="00D663FE"/>
    <w:rsid w:val="00D667BE"/>
    <w:rsid w:val="00D66DF5"/>
    <w:rsid w:val="00D675EF"/>
    <w:rsid w:val="00D67865"/>
    <w:rsid w:val="00D70C7A"/>
    <w:rsid w:val="00D70D72"/>
    <w:rsid w:val="00D71EFE"/>
    <w:rsid w:val="00D73931"/>
    <w:rsid w:val="00D73E81"/>
    <w:rsid w:val="00D74448"/>
    <w:rsid w:val="00D74836"/>
    <w:rsid w:val="00D74C34"/>
    <w:rsid w:val="00D7586C"/>
    <w:rsid w:val="00D7618E"/>
    <w:rsid w:val="00D764D7"/>
    <w:rsid w:val="00D76941"/>
    <w:rsid w:val="00D76BA2"/>
    <w:rsid w:val="00D77136"/>
    <w:rsid w:val="00D772C8"/>
    <w:rsid w:val="00D80363"/>
    <w:rsid w:val="00D81D20"/>
    <w:rsid w:val="00D81D38"/>
    <w:rsid w:val="00D82202"/>
    <w:rsid w:val="00D82F80"/>
    <w:rsid w:val="00D83E87"/>
    <w:rsid w:val="00D84472"/>
    <w:rsid w:val="00D8470F"/>
    <w:rsid w:val="00D8471A"/>
    <w:rsid w:val="00D85569"/>
    <w:rsid w:val="00D8559D"/>
    <w:rsid w:val="00D85FCE"/>
    <w:rsid w:val="00D87E9C"/>
    <w:rsid w:val="00D903F8"/>
    <w:rsid w:val="00D90AC4"/>
    <w:rsid w:val="00D90F57"/>
    <w:rsid w:val="00D91D0D"/>
    <w:rsid w:val="00D9335F"/>
    <w:rsid w:val="00D9336A"/>
    <w:rsid w:val="00D934E9"/>
    <w:rsid w:val="00D93DD0"/>
    <w:rsid w:val="00D945C0"/>
    <w:rsid w:val="00D94A0D"/>
    <w:rsid w:val="00D95315"/>
    <w:rsid w:val="00D95B71"/>
    <w:rsid w:val="00D95BE4"/>
    <w:rsid w:val="00D96560"/>
    <w:rsid w:val="00D967AA"/>
    <w:rsid w:val="00D96B5C"/>
    <w:rsid w:val="00D96CEB"/>
    <w:rsid w:val="00D96D5A"/>
    <w:rsid w:val="00D97043"/>
    <w:rsid w:val="00D97637"/>
    <w:rsid w:val="00DA0B30"/>
    <w:rsid w:val="00DA10A8"/>
    <w:rsid w:val="00DA1300"/>
    <w:rsid w:val="00DA2C0C"/>
    <w:rsid w:val="00DA39B9"/>
    <w:rsid w:val="00DA3BBC"/>
    <w:rsid w:val="00DA3EA8"/>
    <w:rsid w:val="00DA465B"/>
    <w:rsid w:val="00DA5028"/>
    <w:rsid w:val="00DA53E5"/>
    <w:rsid w:val="00DA60D7"/>
    <w:rsid w:val="00DA6324"/>
    <w:rsid w:val="00DA7E9C"/>
    <w:rsid w:val="00DB01AF"/>
    <w:rsid w:val="00DB0406"/>
    <w:rsid w:val="00DB099F"/>
    <w:rsid w:val="00DB1E08"/>
    <w:rsid w:val="00DB2973"/>
    <w:rsid w:val="00DB2BA0"/>
    <w:rsid w:val="00DB324A"/>
    <w:rsid w:val="00DB326D"/>
    <w:rsid w:val="00DB364D"/>
    <w:rsid w:val="00DB4252"/>
    <w:rsid w:val="00DB4B91"/>
    <w:rsid w:val="00DB5406"/>
    <w:rsid w:val="00DB5784"/>
    <w:rsid w:val="00DB5E87"/>
    <w:rsid w:val="00DB6238"/>
    <w:rsid w:val="00DB7933"/>
    <w:rsid w:val="00DB7A08"/>
    <w:rsid w:val="00DB7E14"/>
    <w:rsid w:val="00DC035A"/>
    <w:rsid w:val="00DC06FF"/>
    <w:rsid w:val="00DC0F83"/>
    <w:rsid w:val="00DC1643"/>
    <w:rsid w:val="00DC1A97"/>
    <w:rsid w:val="00DC1B56"/>
    <w:rsid w:val="00DC2129"/>
    <w:rsid w:val="00DC331E"/>
    <w:rsid w:val="00DC3A4C"/>
    <w:rsid w:val="00DC3C72"/>
    <w:rsid w:val="00DC6570"/>
    <w:rsid w:val="00DC67DE"/>
    <w:rsid w:val="00DC6F96"/>
    <w:rsid w:val="00DC73E2"/>
    <w:rsid w:val="00DD0E24"/>
    <w:rsid w:val="00DD2047"/>
    <w:rsid w:val="00DD20AE"/>
    <w:rsid w:val="00DD2403"/>
    <w:rsid w:val="00DD31DB"/>
    <w:rsid w:val="00DD35CC"/>
    <w:rsid w:val="00DD3C5E"/>
    <w:rsid w:val="00DD43F1"/>
    <w:rsid w:val="00DD5357"/>
    <w:rsid w:val="00DD7DA6"/>
    <w:rsid w:val="00DE0231"/>
    <w:rsid w:val="00DE0649"/>
    <w:rsid w:val="00DE0DDE"/>
    <w:rsid w:val="00DE16D4"/>
    <w:rsid w:val="00DE1CE3"/>
    <w:rsid w:val="00DE2662"/>
    <w:rsid w:val="00DE36D3"/>
    <w:rsid w:val="00DE3CEB"/>
    <w:rsid w:val="00DE4B94"/>
    <w:rsid w:val="00DE5326"/>
    <w:rsid w:val="00DE544D"/>
    <w:rsid w:val="00DE5BAA"/>
    <w:rsid w:val="00DE6871"/>
    <w:rsid w:val="00DE6A5C"/>
    <w:rsid w:val="00DE79D9"/>
    <w:rsid w:val="00DE7ADE"/>
    <w:rsid w:val="00DE7D9C"/>
    <w:rsid w:val="00DF0D03"/>
    <w:rsid w:val="00DF0F16"/>
    <w:rsid w:val="00DF1437"/>
    <w:rsid w:val="00DF16F5"/>
    <w:rsid w:val="00DF1A90"/>
    <w:rsid w:val="00DF25C3"/>
    <w:rsid w:val="00DF3763"/>
    <w:rsid w:val="00DF41D2"/>
    <w:rsid w:val="00DF4206"/>
    <w:rsid w:val="00DF46FC"/>
    <w:rsid w:val="00DF5E67"/>
    <w:rsid w:val="00DF7A3B"/>
    <w:rsid w:val="00E00266"/>
    <w:rsid w:val="00E00C62"/>
    <w:rsid w:val="00E014F3"/>
    <w:rsid w:val="00E02C45"/>
    <w:rsid w:val="00E02E25"/>
    <w:rsid w:val="00E03395"/>
    <w:rsid w:val="00E036F0"/>
    <w:rsid w:val="00E03C1D"/>
    <w:rsid w:val="00E03E15"/>
    <w:rsid w:val="00E04062"/>
    <w:rsid w:val="00E0529E"/>
    <w:rsid w:val="00E063C6"/>
    <w:rsid w:val="00E07853"/>
    <w:rsid w:val="00E10CC4"/>
    <w:rsid w:val="00E11599"/>
    <w:rsid w:val="00E119B3"/>
    <w:rsid w:val="00E1282E"/>
    <w:rsid w:val="00E1294F"/>
    <w:rsid w:val="00E132D0"/>
    <w:rsid w:val="00E13793"/>
    <w:rsid w:val="00E1402B"/>
    <w:rsid w:val="00E14771"/>
    <w:rsid w:val="00E14870"/>
    <w:rsid w:val="00E15606"/>
    <w:rsid w:val="00E16706"/>
    <w:rsid w:val="00E2003B"/>
    <w:rsid w:val="00E203C2"/>
    <w:rsid w:val="00E208EA"/>
    <w:rsid w:val="00E2103A"/>
    <w:rsid w:val="00E21DF2"/>
    <w:rsid w:val="00E223F9"/>
    <w:rsid w:val="00E228F0"/>
    <w:rsid w:val="00E22FB0"/>
    <w:rsid w:val="00E2313E"/>
    <w:rsid w:val="00E231F4"/>
    <w:rsid w:val="00E23242"/>
    <w:rsid w:val="00E24679"/>
    <w:rsid w:val="00E24A26"/>
    <w:rsid w:val="00E25F54"/>
    <w:rsid w:val="00E260CC"/>
    <w:rsid w:val="00E2622B"/>
    <w:rsid w:val="00E26384"/>
    <w:rsid w:val="00E2689C"/>
    <w:rsid w:val="00E26E33"/>
    <w:rsid w:val="00E272CC"/>
    <w:rsid w:val="00E279D8"/>
    <w:rsid w:val="00E30B6E"/>
    <w:rsid w:val="00E319B1"/>
    <w:rsid w:val="00E32EAE"/>
    <w:rsid w:val="00E33499"/>
    <w:rsid w:val="00E3403A"/>
    <w:rsid w:val="00E344A9"/>
    <w:rsid w:val="00E3497C"/>
    <w:rsid w:val="00E360EC"/>
    <w:rsid w:val="00E371D8"/>
    <w:rsid w:val="00E4052E"/>
    <w:rsid w:val="00E4083E"/>
    <w:rsid w:val="00E408B6"/>
    <w:rsid w:val="00E40A9E"/>
    <w:rsid w:val="00E40ED4"/>
    <w:rsid w:val="00E416BD"/>
    <w:rsid w:val="00E41B18"/>
    <w:rsid w:val="00E4229D"/>
    <w:rsid w:val="00E42514"/>
    <w:rsid w:val="00E43255"/>
    <w:rsid w:val="00E44E0D"/>
    <w:rsid w:val="00E45C5E"/>
    <w:rsid w:val="00E473E3"/>
    <w:rsid w:val="00E47557"/>
    <w:rsid w:val="00E478A2"/>
    <w:rsid w:val="00E51035"/>
    <w:rsid w:val="00E51507"/>
    <w:rsid w:val="00E515B9"/>
    <w:rsid w:val="00E520FE"/>
    <w:rsid w:val="00E5223F"/>
    <w:rsid w:val="00E52242"/>
    <w:rsid w:val="00E5249D"/>
    <w:rsid w:val="00E53E6E"/>
    <w:rsid w:val="00E54231"/>
    <w:rsid w:val="00E546E6"/>
    <w:rsid w:val="00E5492F"/>
    <w:rsid w:val="00E54A77"/>
    <w:rsid w:val="00E5510B"/>
    <w:rsid w:val="00E554AA"/>
    <w:rsid w:val="00E55F0D"/>
    <w:rsid w:val="00E56148"/>
    <w:rsid w:val="00E5615F"/>
    <w:rsid w:val="00E571DD"/>
    <w:rsid w:val="00E57882"/>
    <w:rsid w:val="00E57FCF"/>
    <w:rsid w:val="00E602F7"/>
    <w:rsid w:val="00E625B9"/>
    <w:rsid w:val="00E6279F"/>
    <w:rsid w:val="00E62CDE"/>
    <w:rsid w:val="00E62DEF"/>
    <w:rsid w:val="00E633D3"/>
    <w:rsid w:val="00E639FE"/>
    <w:rsid w:val="00E63AD9"/>
    <w:rsid w:val="00E63B64"/>
    <w:rsid w:val="00E63E06"/>
    <w:rsid w:val="00E663BF"/>
    <w:rsid w:val="00E6675A"/>
    <w:rsid w:val="00E66CFF"/>
    <w:rsid w:val="00E6790C"/>
    <w:rsid w:val="00E67A1A"/>
    <w:rsid w:val="00E70479"/>
    <w:rsid w:val="00E7060C"/>
    <w:rsid w:val="00E7087E"/>
    <w:rsid w:val="00E70A86"/>
    <w:rsid w:val="00E70CA6"/>
    <w:rsid w:val="00E71790"/>
    <w:rsid w:val="00E71980"/>
    <w:rsid w:val="00E721FE"/>
    <w:rsid w:val="00E7411B"/>
    <w:rsid w:val="00E75054"/>
    <w:rsid w:val="00E751D6"/>
    <w:rsid w:val="00E7560E"/>
    <w:rsid w:val="00E7592D"/>
    <w:rsid w:val="00E7597D"/>
    <w:rsid w:val="00E759B0"/>
    <w:rsid w:val="00E75C16"/>
    <w:rsid w:val="00E75F1F"/>
    <w:rsid w:val="00E77229"/>
    <w:rsid w:val="00E777EC"/>
    <w:rsid w:val="00E80455"/>
    <w:rsid w:val="00E8046B"/>
    <w:rsid w:val="00E809B6"/>
    <w:rsid w:val="00E80FCD"/>
    <w:rsid w:val="00E81CF8"/>
    <w:rsid w:val="00E81F4E"/>
    <w:rsid w:val="00E81F6E"/>
    <w:rsid w:val="00E829DE"/>
    <w:rsid w:val="00E83BD5"/>
    <w:rsid w:val="00E8450B"/>
    <w:rsid w:val="00E84DE0"/>
    <w:rsid w:val="00E857BA"/>
    <w:rsid w:val="00E857E5"/>
    <w:rsid w:val="00E85E89"/>
    <w:rsid w:val="00E86EB9"/>
    <w:rsid w:val="00E90656"/>
    <w:rsid w:val="00E9100D"/>
    <w:rsid w:val="00E912F3"/>
    <w:rsid w:val="00E912F4"/>
    <w:rsid w:val="00E91E8C"/>
    <w:rsid w:val="00E92E5F"/>
    <w:rsid w:val="00E940F0"/>
    <w:rsid w:val="00E94330"/>
    <w:rsid w:val="00E947C2"/>
    <w:rsid w:val="00E94E62"/>
    <w:rsid w:val="00E9556D"/>
    <w:rsid w:val="00E95793"/>
    <w:rsid w:val="00E95AC2"/>
    <w:rsid w:val="00E961CF"/>
    <w:rsid w:val="00E96CC9"/>
    <w:rsid w:val="00E973D5"/>
    <w:rsid w:val="00E97538"/>
    <w:rsid w:val="00E97667"/>
    <w:rsid w:val="00EA0668"/>
    <w:rsid w:val="00EA0A24"/>
    <w:rsid w:val="00EA2A83"/>
    <w:rsid w:val="00EA2C59"/>
    <w:rsid w:val="00EA2FDF"/>
    <w:rsid w:val="00EA5706"/>
    <w:rsid w:val="00EA5E5A"/>
    <w:rsid w:val="00EA685E"/>
    <w:rsid w:val="00EA69F8"/>
    <w:rsid w:val="00EA6AD1"/>
    <w:rsid w:val="00EA7E55"/>
    <w:rsid w:val="00EA7EDB"/>
    <w:rsid w:val="00EA7F2F"/>
    <w:rsid w:val="00EA7FF0"/>
    <w:rsid w:val="00EB061F"/>
    <w:rsid w:val="00EB0C7C"/>
    <w:rsid w:val="00EB0D7A"/>
    <w:rsid w:val="00EB1353"/>
    <w:rsid w:val="00EB1982"/>
    <w:rsid w:val="00EB1E4D"/>
    <w:rsid w:val="00EB222B"/>
    <w:rsid w:val="00EB2299"/>
    <w:rsid w:val="00EB2F1F"/>
    <w:rsid w:val="00EB4667"/>
    <w:rsid w:val="00EB4A23"/>
    <w:rsid w:val="00EB51DF"/>
    <w:rsid w:val="00EB56E6"/>
    <w:rsid w:val="00EB5F30"/>
    <w:rsid w:val="00EB6575"/>
    <w:rsid w:val="00EC00DE"/>
    <w:rsid w:val="00EC09A8"/>
    <w:rsid w:val="00EC0A22"/>
    <w:rsid w:val="00EC0C60"/>
    <w:rsid w:val="00EC0DB9"/>
    <w:rsid w:val="00EC11CC"/>
    <w:rsid w:val="00EC184B"/>
    <w:rsid w:val="00EC30E1"/>
    <w:rsid w:val="00EC3755"/>
    <w:rsid w:val="00EC4F8E"/>
    <w:rsid w:val="00EC5628"/>
    <w:rsid w:val="00EC5B66"/>
    <w:rsid w:val="00EC63F4"/>
    <w:rsid w:val="00EC686B"/>
    <w:rsid w:val="00EC7362"/>
    <w:rsid w:val="00EC7995"/>
    <w:rsid w:val="00EC7F52"/>
    <w:rsid w:val="00EC7FF6"/>
    <w:rsid w:val="00ED159A"/>
    <w:rsid w:val="00ED172A"/>
    <w:rsid w:val="00ED2BFE"/>
    <w:rsid w:val="00ED2C39"/>
    <w:rsid w:val="00ED3A03"/>
    <w:rsid w:val="00ED3AB6"/>
    <w:rsid w:val="00ED40BF"/>
    <w:rsid w:val="00ED41BD"/>
    <w:rsid w:val="00ED514C"/>
    <w:rsid w:val="00ED5CAD"/>
    <w:rsid w:val="00ED5FA8"/>
    <w:rsid w:val="00ED6194"/>
    <w:rsid w:val="00EE0A23"/>
    <w:rsid w:val="00EE0E7A"/>
    <w:rsid w:val="00EE111A"/>
    <w:rsid w:val="00EE131A"/>
    <w:rsid w:val="00EE13C2"/>
    <w:rsid w:val="00EE2CC9"/>
    <w:rsid w:val="00EE31A7"/>
    <w:rsid w:val="00EE32C7"/>
    <w:rsid w:val="00EE3306"/>
    <w:rsid w:val="00EE336F"/>
    <w:rsid w:val="00EE62D7"/>
    <w:rsid w:val="00EE66AB"/>
    <w:rsid w:val="00EE6B65"/>
    <w:rsid w:val="00EE78DE"/>
    <w:rsid w:val="00EF0981"/>
    <w:rsid w:val="00EF0CF1"/>
    <w:rsid w:val="00EF0DBF"/>
    <w:rsid w:val="00EF0F9F"/>
    <w:rsid w:val="00EF1003"/>
    <w:rsid w:val="00EF301A"/>
    <w:rsid w:val="00EF31A5"/>
    <w:rsid w:val="00EF41A9"/>
    <w:rsid w:val="00EF4916"/>
    <w:rsid w:val="00EF4E9D"/>
    <w:rsid w:val="00EF59DD"/>
    <w:rsid w:val="00EF6193"/>
    <w:rsid w:val="00EF675D"/>
    <w:rsid w:val="00EF69ED"/>
    <w:rsid w:val="00EF7272"/>
    <w:rsid w:val="00EF7583"/>
    <w:rsid w:val="00EF761C"/>
    <w:rsid w:val="00EF776A"/>
    <w:rsid w:val="00F007B1"/>
    <w:rsid w:val="00F01080"/>
    <w:rsid w:val="00F01962"/>
    <w:rsid w:val="00F0198B"/>
    <w:rsid w:val="00F02619"/>
    <w:rsid w:val="00F02BA0"/>
    <w:rsid w:val="00F0303D"/>
    <w:rsid w:val="00F0412D"/>
    <w:rsid w:val="00F04F2A"/>
    <w:rsid w:val="00F04F93"/>
    <w:rsid w:val="00F05944"/>
    <w:rsid w:val="00F05A92"/>
    <w:rsid w:val="00F05A94"/>
    <w:rsid w:val="00F0639D"/>
    <w:rsid w:val="00F07122"/>
    <w:rsid w:val="00F0750B"/>
    <w:rsid w:val="00F10DE8"/>
    <w:rsid w:val="00F1141A"/>
    <w:rsid w:val="00F11FC2"/>
    <w:rsid w:val="00F1412F"/>
    <w:rsid w:val="00F14692"/>
    <w:rsid w:val="00F14BEC"/>
    <w:rsid w:val="00F163D8"/>
    <w:rsid w:val="00F1676A"/>
    <w:rsid w:val="00F17795"/>
    <w:rsid w:val="00F20348"/>
    <w:rsid w:val="00F20854"/>
    <w:rsid w:val="00F21DDD"/>
    <w:rsid w:val="00F225C5"/>
    <w:rsid w:val="00F22718"/>
    <w:rsid w:val="00F23768"/>
    <w:rsid w:val="00F238C7"/>
    <w:rsid w:val="00F2394F"/>
    <w:rsid w:val="00F2424D"/>
    <w:rsid w:val="00F2492D"/>
    <w:rsid w:val="00F25083"/>
    <w:rsid w:val="00F253D0"/>
    <w:rsid w:val="00F2587A"/>
    <w:rsid w:val="00F26587"/>
    <w:rsid w:val="00F26EE8"/>
    <w:rsid w:val="00F27949"/>
    <w:rsid w:val="00F30226"/>
    <w:rsid w:val="00F302FB"/>
    <w:rsid w:val="00F30AFB"/>
    <w:rsid w:val="00F310C4"/>
    <w:rsid w:val="00F326E1"/>
    <w:rsid w:val="00F33BB8"/>
    <w:rsid w:val="00F33D7E"/>
    <w:rsid w:val="00F357B2"/>
    <w:rsid w:val="00F35E70"/>
    <w:rsid w:val="00F361C2"/>
    <w:rsid w:val="00F36ED9"/>
    <w:rsid w:val="00F36F1B"/>
    <w:rsid w:val="00F3715D"/>
    <w:rsid w:val="00F378CE"/>
    <w:rsid w:val="00F37C41"/>
    <w:rsid w:val="00F40F68"/>
    <w:rsid w:val="00F420C8"/>
    <w:rsid w:val="00F42A3B"/>
    <w:rsid w:val="00F42A4C"/>
    <w:rsid w:val="00F42DD8"/>
    <w:rsid w:val="00F434DE"/>
    <w:rsid w:val="00F4382E"/>
    <w:rsid w:val="00F43E18"/>
    <w:rsid w:val="00F446D1"/>
    <w:rsid w:val="00F4595D"/>
    <w:rsid w:val="00F45E5A"/>
    <w:rsid w:val="00F4608A"/>
    <w:rsid w:val="00F46D4F"/>
    <w:rsid w:val="00F4710E"/>
    <w:rsid w:val="00F475E5"/>
    <w:rsid w:val="00F50EEC"/>
    <w:rsid w:val="00F51149"/>
    <w:rsid w:val="00F53B04"/>
    <w:rsid w:val="00F541F3"/>
    <w:rsid w:val="00F5468F"/>
    <w:rsid w:val="00F54ADC"/>
    <w:rsid w:val="00F55DF4"/>
    <w:rsid w:val="00F562F3"/>
    <w:rsid w:val="00F57085"/>
    <w:rsid w:val="00F574B5"/>
    <w:rsid w:val="00F6003B"/>
    <w:rsid w:val="00F604DE"/>
    <w:rsid w:val="00F60E49"/>
    <w:rsid w:val="00F60F18"/>
    <w:rsid w:val="00F61313"/>
    <w:rsid w:val="00F6137B"/>
    <w:rsid w:val="00F614AD"/>
    <w:rsid w:val="00F61C9F"/>
    <w:rsid w:val="00F624D8"/>
    <w:rsid w:val="00F626B5"/>
    <w:rsid w:val="00F63DAD"/>
    <w:rsid w:val="00F641FD"/>
    <w:rsid w:val="00F64653"/>
    <w:rsid w:val="00F648AD"/>
    <w:rsid w:val="00F64DBB"/>
    <w:rsid w:val="00F670FC"/>
    <w:rsid w:val="00F67394"/>
    <w:rsid w:val="00F70553"/>
    <w:rsid w:val="00F71111"/>
    <w:rsid w:val="00F716B7"/>
    <w:rsid w:val="00F73180"/>
    <w:rsid w:val="00F73D44"/>
    <w:rsid w:val="00F74A1A"/>
    <w:rsid w:val="00F74F8E"/>
    <w:rsid w:val="00F757FC"/>
    <w:rsid w:val="00F75B97"/>
    <w:rsid w:val="00F769CC"/>
    <w:rsid w:val="00F81C40"/>
    <w:rsid w:val="00F82CC9"/>
    <w:rsid w:val="00F8389C"/>
    <w:rsid w:val="00F849BF"/>
    <w:rsid w:val="00F84E06"/>
    <w:rsid w:val="00F85804"/>
    <w:rsid w:val="00F86A13"/>
    <w:rsid w:val="00F86A8A"/>
    <w:rsid w:val="00F8741C"/>
    <w:rsid w:val="00F90124"/>
    <w:rsid w:val="00F90D37"/>
    <w:rsid w:val="00F90F86"/>
    <w:rsid w:val="00F91A10"/>
    <w:rsid w:val="00F91DCD"/>
    <w:rsid w:val="00F928D6"/>
    <w:rsid w:val="00F93091"/>
    <w:rsid w:val="00F930C0"/>
    <w:rsid w:val="00F93280"/>
    <w:rsid w:val="00F938E8"/>
    <w:rsid w:val="00F939BE"/>
    <w:rsid w:val="00F9418C"/>
    <w:rsid w:val="00F94980"/>
    <w:rsid w:val="00F949FF"/>
    <w:rsid w:val="00F95DE4"/>
    <w:rsid w:val="00F963F4"/>
    <w:rsid w:val="00F96722"/>
    <w:rsid w:val="00F96C8F"/>
    <w:rsid w:val="00F97A74"/>
    <w:rsid w:val="00FA268A"/>
    <w:rsid w:val="00FA461B"/>
    <w:rsid w:val="00FA4641"/>
    <w:rsid w:val="00FA4FEC"/>
    <w:rsid w:val="00FA5339"/>
    <w:rsid w:val="00FA54A3"/>
    <w:rsid w:val="00FA60D0"/>
    <w:rsid w:val="00FA7B8A"/>
    <w:rsid w:val="00FA7EAD"/>
    <w:rsid w:val="00FB016D"/>
    <w:rsid w:val="00FB0760"/>
    <w:rsid w:val="00FB1533"/>
    <w:rsid w:val="00FB1FA5"/>
    <w:rsid w:val="00FB1FEF"/>
    <w:rsid w:val="00FB3AE0"/>
    <w:rsid w:val="00FB3BF8"/>
    <w:rsid w:val="00FB3D63"/>
    <w:rsid w:val="00FB3E58"/>
    <w:rsid w:val="00FB41DB"/>
    <w:rsid w:val="00FB50D6"/>
    <w:rsid w:val="00FB547F"/>
    <w:rsid w:val="00FB5647"/>
    <w:rsid w:val="00FB66F1"/>
    <w:rsid w:val="00FB6AD2"/>
    <w:rsid w:val="00FB7512"/>
    <w:rsid w:val="00FC1F55"/>
    <w:rsid w:val="00FC2416"/>
    <w:rsid w:val="00FC2A3B"/>
    <w:rsid w:val="00FC2D28"/>
    <w:rsid w:val="00FC4076"/>
    <w:rsid w:val="00FC5644"/>
    <w:rsid w:val="00FC5976"/>
    <w:rsid w:val="00FC73F1"/>
    <w:rsid w:val="00FC74EB"/>
    <w:rsid w:val="00FC75FA"/>
    <w:rsid w:val="00FC7B1D"/>
    <w:rsid w:val="00FD07CE"/>
    <w:rsid w:val="00FD185E"/>
    <w:rsid w:val="00FD196A"/>
    <w:rsid w:val="00FD1E9F"/>
    <w:rsid w:val="00FD2FBE"/>
    <w:rsid w:val="00FD328C"/>
    <w:rsid w:val="00FD3966"/>
    <w:rsid w:val="00FD4D74"/>
    <w:rsid w:val="00FD5379"/>
    <w:rsid w:val="00FD56D3"/>
    <w:rsid w:val="00FD5CE2"/>
    <w:rsid w:val="00FD6875"/>
    <w:rsid w:val="00FD69D1"/>
    <w:rsid w:val="00FD7547"/>
    <w:rsid w:val="00FE10CF"/>
    <w:rsid w:val="00FE158A"/>
    <w:rsid w:val="00FE2A84"/>
    <w:rsid w:val="00FE2C7D"/>
    <w:rsid w:val="00FE3451"/>
    <w:rsid w:val="00FE4CDD"/>
    <w:rsid w:val="00FE5641"/>
    <w:rsid w:val="00FE6319"/>
    <w:rsid w:val="00FE76B2"/>
    <w:rsid w:val="00FE7763"/>
    <w:rsid w:val="00FE7B7A"/>
    <w:rsid w:val="00FF10D2"/>
    <w:rsid w:val="00FF1365"/>
    <w:rsid w:val="00FF18B5"/>
    <w:rsid w:val="00FF2730"/>
    <w:rsid w:val="00FF3234"/>
    <w:rsid w:val="00FF325D"/>
    <w:rsid w:val="00FF4B3E"/>
    <w:rsid w:val="00FF5F5C"/>
    <w:rsid w:val="00FF5FE0"/>
    <w:rsid w:val="00FF666B"/>
    <w:rsid w:val="00FF6762"/>
    <w:rsid w:val="00FF67DB"/>
    <w:rsid w:val="00FF6CCC"/>
    <w:rsid w:val="00FF6CE6"/>
    <w:rsid w:val="00FF7C9C"/>
    <w:rsid w:val="00FF7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1537"/>
    <o:shapelayout v:ext="edit">
      <o:idmap v:ext="edit" data="1"/>
    </o:shapelayout>
  </w:shapeDefaults>
  <w:decimalSymbol w:val="."/>
  <w:listSeparator w:val=","/>
  <w14:docId w14:val="195633C6"/>
  <w15:docId w15:val="{B3FA4238-AF0F-4950-BFDD-7ACBE112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03F2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03F2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Clause">
    <w:name w:val="Clause"/>
    <w:basedOn w:val="Normal"/>
    <w:next w:val="Normal"/>
    <w:link w:val="ClauseChar"/>
    <w:qFormat/>
    <w:rsid w:val="00E40ED4"/>
    <w:pPr>
      <w:tabs>
        <w:tab w:val="left" w:pos="851"/>
      </w:tabs>
    </w:pPr>
    <w:rPr>
      <w:sz w:val="20"/>
      <w:szCs w:val="20"/>
    </w:rPr>
  </w:style>
  <w:style w:type="paragraph" w:customStyle="1" w:styleId="Clauseheading">
    <w:name w:val="Clause heading"/>
    <w:basedOn w:val="Normal"/>
    <w:next w:val="Normal"/>
    <w:qFormat/>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link w:val="DefinitionChar"/>
    <w:rsid w:val="00E40ED4"/>
    <w:pPr>
      <w:ind w:left="1701" w:hanging="851"/>
    </w:pPr>
    <w:rPr>
      <w:sz w:val="20"/>
      <w:szCs w:val="20"/>
    </w:rPr>
  </w:style>
  <w:style w:type="paragraph" w:customStyle="1" w:styleId="DivisionHeading">
    <w:name w:val="Division Heading"/>
    <w:basedOn w:val="Normal"/>
    <w:next w:val="Normal"/>
    <w:rsid w:val="00BB4143"/>
    <w:pPr>
      <w:tabs>
        <w:tab w:val="left" w:pos="851"/>
      </w:tabs>
      <w:jc w:val="center"/>
    </w:pPr>
    <w:rPr>
      <w:b/>
      <w:sz w:val="26"/>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link w:val="ParagraphChar"/>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link w:val="SubclauseChar"/>
    <w:qFormat/>
    <w:pPr>
      <w:ind w:hanging="11"/>
    </w:pPr>
  </w:style>
  <w:style w:type="paragraph" w:customStyle="1" w:styleId="Subparagraph">
    <w:name w:val="Subparagraph"/>
    <w:basedOn w:val="Paragraph"/>
    <w:next w:val="Normal"/>
    <w:link w:val="SubparagraphChar"/>
    <w:qFormat/>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uiPriority w:val="5"/>
    <w:qFormat/>
    <w:rPr>
      <w:sz w:val="20"/>
      <w:szCs w:val="20"/>
    </w:rPr>
  </w:style>
  <w:style w:type="character" w:styleId="FootnoteReference">
    <w:name w:val="footnote reference"/>
    <w:basedOn w:val="DefaultParagraphFont"/>
    <w:uiPriority w:val="99"/>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3B1807"/>
    <w:pPr>
      <w:widowControl/>
      <w:numPr>
        <w:numId w:val="2"/>
      </w:numPr>
      <w:ind w:left="567" w:hanging="567"/>
    </w:pPr>
    <w:rPr>
      <w:rFonts w:cs="Arial"/>
      <w:lang w:bidi="ar-SA"/>
    </w:rPr>
  </w:style>
  <w:style w:type="character" w:customStyle="1" w:styleId="FSBullet1Char">
    <w:name w:val="FSBullet 1 Char"/>
    <w:link w:val="FSBullet1"/>
    <w:rsid w:val="003B1807"/>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uiPriority w:val="5"/>
    <w:rsid w:val="00E42514"/>
    <w:rPr>
      <w:rFonts w:ascii="Arial" w:hAnsi="Arial"/>
      <w:lang w:eastAsia="en-US" w:bidi="en-US"/>
    </w:rPr>
  </w:style>
  <w:style w:type="paragraph" w:styleId="ListParagraph">
    <w:name w:val="List Paragraph"/>
    <w:basedOn w:val="Normal"/>
    <w:uiPriority w:val="34"/>
    <w:qFormat/>
    <w:rsid w:val="009B7DA3"/>
    <w:pPr>
      <w:widowControl/>
      <w:ind w:left="720"/>
      <w:contextualSpacing/>
    </w:pPr>
    <w:rPr>
      <w:rFonts w:eastAsiaTheme="minorHAnsi" w:cstheme="minorBidi"/>
      <w:szCs w:val="22"/>
      <w:lang w:bidi="ar-SA"/>
    </w:rPr>
  </w:style>
  <w:style w:type="character" w:customStyle="1" w:styleId="DefinitionChar">
    <w:name w:val="Definition Char"/>
    <w:basedOn w:val="DefaultParagraphFont"/>
    <w:link w:val="Definition"/>
    <w:rsid w:val="001C3853"/>
    <w:rPr>
      <w:rFonts w:ascii="Arial" w:hAnsi="Arial"/>
      <w:lang w:eastAsia="en-US" w:bidi="en-US"/>
    </w:rPr>
  </w:style>
  <w:style w:type="character" w:customStyle="1" w:styleId="ClauseChar">
    <w:name w:val="Clause Char"/>
    <w:basedOn w:val="DefaultParagraphFont"/>
    <w:link w:val="Clause"/>
    <w:rsid w:val="005C7ED7"/>
    <w:rPr>
      <w:rFonts w:ascii="Arial" w:hAnsi="Arial"/>
      <w:lang w:eastAsia="en-US" w:bidi="en-US"/>
    </w:rPr>
  </w:style>
  <w:style w:type="paragraph" w:styleId="Title">
    <w:name w:val="Title"/>
    <w:basedOn w:val="Normal"/>
    <w:link w:val="TitleChar"/>
    <w:uiPriority w:val="10"/>
    <w:qFormat/>
    <w:rsid w:val="005C7ED7"/>
    <w:pPr>
      <w:tabs>
        <w:tab w:val="left" w:pos="851"/>
      </w:tabs>
      <w:jc w:val="center"/>
    </w:pPr>
    <w:rPr>
      <w:b/>
      <w:bCs/>
      <w:sz w:val="20"/>
      <w:lang w:val="en-AU" w:bidi="ar-SA"/>
    </w:rPr>
  </w:style>
  <w:style w:type="character" w:customStyle="1" w:styleId="TitleChar">
    <w:name w:val="Title Char"/>
    <w:basedOn w:val="DefaultParagraphFont"/>
    <w:link w:val="Title"/>
    <w:uiPriority w:val="10"/>
    <w:rsid w:val="005C7ED7"/>
    <w:rPr>
      <w:rFonts w:ascii="Arial" w:hAnsi="Arial"/>
      <w:b/>
      <w:bCs/>
      <w:szCs w:val="24"/>
      <w:lang w:val="en-AU" w:eastAsia="en-US"/>
    </w:rPr>
  </w:style>
  <w:style w:type="character" w:customStyle="1" w:styleId="SubparagraphChar">
    <w:name w:val="Subparagraph Char"/>
    <w:basedOn w:val="DefaultParagraphFont"/>
    <w:link w:val="Subparagraph"/>
    <w:rsid w:val="005C7ED7"/>
    <w:rPr>
      <w:rFonts w:ascii="Arial" w:hAnsi="Arial"/>
      <w:lang w:eastAsia="en-US" w:bidi="en-US"/>
    </w:rPr>
  </w:style>
  <w:style w:type="character" w:customStyle="1" w:styleId="ParagraphChar">
    <w:name w:val="Paragraph Char"/>
    <w:basedOn w:val="ClauseChar"/>
    <w:link w:val="Paragraph"/>
    <w:rsid w:val="005C7ED7"/>
    <w:rPr>
      <w:rFonts w:ascii="Arial" w:hAnsi="Arial"/>
      <w:lang w:eastAsia="en-US" w:bidi="en-US"/>
    </w:rPr>
  </w:style>
  <w:style w:type="character" w:customStyle="1" w:styleId="SubclauseChar">
    <w:name w:val="Subclause Char"/>
    <w:basedOn w:val="ClauseChar"/>
    <w:link w:val="Subclause"/>
    <w:rsid w:val="005C7ED7"/>
    <w:rPr>
      <w:rFonts w:ascii="Arial" w:hAnsi="Arial"/>
      <w:lang w:eastAsia="en-US" w:bidi="en-US"/>
    </w:rPr>
  </w:style>
  <w:style w:type="paragraph" w:customStyle="1" w:styleId="131ItemHeading">
    <w:name w:val="1.3.1 Item Heading"/>
    <w:basedOn w:val="Table2"/>
    <w:next w:val="Table2"/>
    <w:uiPriority w:val="22"/>
    <w:qFormat/>
    <w:rsid w:val="00F67394"/>
    <w:pPr>
      <w:keepNext/>
      <w:widowControl/>
      <w:tabs>
        <w:tab w:val="left" w:pos="851"/>
      </w:tabs>
      <w:spacing w:after="200"/>
      <w:ind w:left="0" w:firstLine="0"/>
    </w:pPr>
    <w:rPr>
      <w:b/>
      <w:bCs w:val="0"/>
      <w:caps/>
      <w:sz w:val="20"/>
      <w:lang w:bidi="ar-SA"/>
    </w:rPr>
  </w:style>
  <w:style w:type="paragraph" w:customStyle="1" w:styleId="131Subitemheading">
    <w:name w:val="1.3.1 Subitem heading"/>
    <w:basedOn w:val="131ItemHeading"/>
    <w:next w:val="Table2"/>
    <w:qFormat/>
    <w:rsid w:val="00F67394"/>
    <w:pPr>
      <w:spacing w:after="120"/>
    </w:pPr>
    <w:rPr>
      <w:caps w:val="0"/>
      <w:sz w:val="18"/>
    </w:rPr>
  </w:style>
  <w:style w:type="paragraph" w:customStyle="1" w:styleId="Centeredheadings">
    <w:name w:val="Centered headings"/>
    <w:basedOn w:val="Normal"/>
    <w:rsid w:val="00951979"/>
    <w:pPr>
      <w:tabs>
        <w:tab w:val="left" w:pos="680"/>
        <w:tab w:val="left" w:pos="851"/>
        <w:tab w:val="left" w:pos="1240"/>
        <w:tab w:val="left" w:pos="1880"/>
        <w:tab w:val="left" w:pos="7776"/>
      </w:tabs>
      <w:spacing w:line="240" w:lineRule="atLeast"/>
      <w:jc w:val="center"/>
    </w:pPr>
    <w:rPr>
      <w:b/>
      <w:sz w:val="20"/>
      <w:szCs w:val="20"/>
      <w:lang w:bidi="ar-SA"/>
    </w:rPr>
  </w:style>
  <w:style w:type="paragraph" w:customStyle="1" w:styleId="142tabletext1">
    <w:name w:val="1.4.2 table text1"/>
    <w:basedOn w:val="Normal"/>
    <w:link w:val="142tabletext1Char"/>
    <w:rsid w:val="00C646F4"/>
    <w:pPr>
      <w:ind w:left="142" w:hanging="142"/>
    </w:pPr>
    <w:rPr>
      <w:sz w:val="18"/>
      <w:szCs w:val="20"/>
      <w:lang w:bidi="ar-SA"/>
    </w:rPr>
  </w:style>
  <w:style w:type="character" w:customStyle="1" w:styleId="142tabletext1Char">
    <w:name w:val="1.4.2 table text1 Char"/>
    <w:basedOn w:val="DefaultParagraphFont"/>
    <w:link w:val="142tabletext1"/>
    <w:rsid w:val="00C646F4"/>
    <w:rPr>
      <w:rFonts w:ascii="Arial" w:hAnsi="Arial"/>
      <w:sz w:val="18"/>
      <w:lang w:eastAsia="en-US"/>
    </w:rPr>
  </w:style>
  <w:style w:type="paragraph" w:customStyle="1" w:styleId="FSTableColumnRowheading">
    <w:name w:val="FSTable Column/Row heading"/>
    <w:basedOn w:val="Normal"/>
    <w:uiPriority w:val="8"/>
    <w:qFormat/>
    <w:locked/>
    <w:rsid w:val="00B8001C"/>
    <w:pPr>
      <w:spacing w:before="120" w:after="120"/>
    </w:pPr>
    <w:rPr>
      <w:b/>
      <w:sz w:val="20"/>
      <w:szCs w:val="20"/>
    </w:rPr>
  </w:style>
  <w:style w:type="paragraph" w:customStyle="1" w:styleId="FSCh5Section">
    <w:name w:val="FSC_h5_Section"/>
    <w:basedOn w:val="Normal"/>
    <w:next w:val="FSCtMain"/>
    <w:qFormat/>
    <w:rsid w:val="00CF3994"/>
    <w:pPr>
      <w:keepNext/>
      <w:spacing w:before="240" w:after="120"/>
      <w:ind w:left="1701" w:hanging="1701"/>
      <w:outlineLvl w:val="4"/>
    </w:pPr>
    <w:rPr>
      <w:b/>
      <w:bCs/>
      <w:kern w:val="32"/>
      <w:lang w:eastAsia="en-AU" w:bidi="ar-SA"/>
    </w:rPr>
  </w:style>
  <w:style w:type="paragraph" w:customStyle="1" w:styleId="FSCtMain">
    <w:name w:val="FSC_t_Main"/>
    <w:basedOn w:val="Normal"/>
    <w:rsid w:val="00CF3994"/>
    <w:pPr>
      <w:tabs>
        <w:tab w:val="left" w:pos="1134"/>
      </w:tabs>
      <w:spacing w:before="120" w:after="120"/>
      <w:ind w:left="1701" w:hanging="1701"/>
    </w:pPr>
    <w:rPr>
      <w:rFonts w:cs="Arial"/>
      <w:iCs/>
      <w:sz w:val="20"/>
      <w:szCs w:val="22"/>
      <w:lang w:eastAsia="en-AU" w:bidi="ar-SA"/>
    </w:rPr>
  </w:style>
  <w:style w:type="paragraph" w:customStyle="1" w:styleId="Normal1">
    <w:name w:val="Normal1"/>
    <w:basedOn w:val="Normal"/>
    <w:rsid w:val="0006653F"/>
    <w:pPr>
      <w:widowControl/>
      <w:spacing w:before="120"/>
      <w:jc w:val="both"/>
    </w:pPr>
    <w:rPr>
      <w:rFonts w:ascii="Times New Roman" w:hAnsi="Times New Roman"/>
      <w:sz w:val="24"/>
      <w:lang w:eastAsia="en-GB" w:bidi="ar-SA"/>
    </w:rPr>
  </w:style>
  <w:style w:type="paragraph" w:customStyle="1" w:styleId="tbl-txt">
    <w:name w:val="tbl-txt"/>
    <w:basedOn w:val="Normal"/>
    <w:rsid w:val="0006653F"/>
    <w:pPr>
      <w:widowControl/>
      <w:spacing w:before="60" w:after="60"/>
    </w:pPr>
    <w:rPr>
      <w:rFonts w:ascii="Times New Roman" w:hAnsi="Times New Roman"/>
      <w:szCs w:val="22"/>
      <w:lang w:eastAsia="en-GB" w:bidi="ar-SA"/>
    </w:rPr>
  </w:style>
  <w:style w:type="paragraph" w:customStyle="1" w:styleId="doc-ti">
    <w:name w:val="doc-ti"/>
    <w:basedOn w:val="Normal"/>
    <w:rsid w:val="0006653F"/>
    <w:pPr>
      <w:widowControl/>
      <w:spacing w:before="240" w:after="120"/>
      <w:jc w:val="center"/>
    </w:pPr>
    <w:rPr>
      <w:rFonts w:ascii="Times New Roman" w:hAnsi="Times New Roman"/>
      <w:b/>
      <w:bCs/>
      <w:sz w:val="24"/>
      <w:lang w:eastAsia="en-GB" w:bidi="ar-SA"/>
    </w:rPr>
  </w:style>
  <w:style w:type="paragraph" w:customStyle="1" w:styleId="FSCtblMain">
    <w:name w:val="FSC_tbl_Main"/>
    <w:basedOn w:val="Normal"/>
    <w:rsid w:val="00D2354A"/>
    <w:pPr>
      <w:keepLines/>
      <w:widowControl/>
      <w:tabs>
        <w:tab w:val="right" w:pos="3969"/>
      </w:tabs>
      <w:spacing w:before="60" w:after="60"/>
    </w:pPr>
    <w:rPr>
      <w:rFonts w:cs="Arial"/>
      <w:sz w:val="18"/>
      <w:szCs w:val="20"/>
      <w:lang w:eastAsia="en-AU" w:bidi="ar-SA"/>
    </w:rPr>
  </w:style>
  <w:style w:type="character" w:customStyle="1" w:styleId="ms-displayinlineblock">
    <w:name w:val="ms-displayinlineblock"/>
    <w:basedOn w:val="DefaultParagraphFont"/>
    <w:rsid w:val="00861BD0"/>
  </w:style>
  <w:style w:type="paragraph" w:customStyle="1" w:styleId="Default">
    <w:name w:val="Default"/>
    <w:rsid w:val="0018459D"/>
    <w:pPr>
      <w:autoSpaceDE w:val="0"/>
      <w:autoSpaceDN w:val="0"/>
      <w:adjustRightInd w:val="0"/>
    </w:pPr>
    <w:rPr>
      <w:rFonts w:ascii="Times New Roman" w:hAnsi="Times New Roman"/>
      <w:color w:val="000000"/>
      <w:sz w:val="24"/>
      <w:szCs w:val="24"/>
    </w:rPr>
  </w:style>
  <w:style w:type="paragraph" w:customStyle="1" w:styleId="FSCtPara">
    <w:name w:val="FSC_t_Para"/>
    <w:basedOn w:val="FSCtMain"/>
    <w:qFormat/>
    <w:rsid w:val="0037402F"/>
    <w:pPr>
      <w:tabs>
        <w:tab w:val="clear" w:pos="1134"/>
        <w:tab w:val="left" w:pos="1701"/>
      </w:tabs>
      <w:spacing w:before="60" w:after="60"/>
      <w:ind w:left="2268" w:hanging="2268"/>
    </w:pPr>
  </w:style>
  <w:style w:type="paragraph" w:customStyle="1" w:styleId="FSCtSubpara">
    <w:name w:val="FSC_t_Subpara"/>
    <w:basedOn w:val="FSCtMain"/>
    <w:qFormat/>
    <w:rsid w:val="0037402F"/>
    <w:pPr>
      <w:tabs>
        <w:tab w:val="clear" w:pos="1134"/>
        <w:tab w:val="left" w:pos="2268"/>
      </w:tabs>
      <w:spacing w:before="60" w:after="60"/>
      <w:ind w:left="2835" w:hanging="2835"/>
    </w:pPr>
  </w:style>
  <w:style w:type="character" w:styleId="HTMLCite">
    <w:name w:val="HTML Cite"/>
    <w:basedOn w:val="DefaultParagraphFont"/>
    <w:uiPriority w:val="99"/>
    <w:semiHidden/>
    <w:unhideWhenUsed/>
    <w:rsid w:val="007E0F78"/>
    <w:rPr>
      <w:i/>
      <w:iCs/>
    </w:rPr>
  </w:style>
  <w:style w:type="character" w:customStyle="1" w:styleId="highwire-cite-journal">
    <w:name w:val="highwire-cite-journal"/>
    <w:basedOn w:val="DefaultParagraphFont"/>
    <w:rsid w:val="007E0F78"/>
  </w:style>
  <w:style w:type="character" w:customStyle="1" w:styleId="highwire-cite-published-year">
    <w:name w:val="highwire-cite-published-year"/>
    <w:basedOn w:val="DefaultParagraphFont"/>
    <w:rsid w:val="007E0F78"/>
  </w:style>
  <w:style w:type="character" w:customStyle="1" w:styleId="highwire-cite-volume-issue">
    <w:name w:val="highwire-cite-volume-issue"/>
    <w:basedOn w:val="DefaultParagraphFont"/>
    <w:rsid w:val="007E0F78"/>
  </w:style>
  <w:style w:type="character" w:customStyle="1" w:styleId="highwire-cite-doi">
    <w:name w:val="highwire-cite-doi"/>
    <w:basedOn w:val="DefaultParagraphFont"/>
    <w:rsid w:val="007E0F78"/>
  </w:style>
  <w:style w:type="character" w:customStyle="1" w:styleId="highwire-cite-date">
    <w:name w:val="highwire-cite-date"/>
    <w:basedOn w:val="DefaultParagraphFont"/>
    <w:rsid w:val="007E0F78"/>
  </w:style>
  <w:style w:type="character" w:customStyle="1" w:styleId="highwire-cite-article-as">
    <w:name w:val="highwire-cite-article-as"/>
    <w:basedOn w:val="DefaultParagraphFont"/>
    <w:rsid w:val="007E0F78"/>
  </w:style>
  <w:style w:type="character" w:customStyle="1" w:styleId="italic">
    <w:name w:val="italic"/>
    <w:basedOn w:val="DefaultParagraphFont"/>
    <w:rsid w:val="007E0F78"/>
  </w:style>
  <w:style w:type="paragraph" w:customStyle="1" w:styleId="fsch5section0">
    <w:name w:val="fsch5section"/>
    <w:basedOn w:val="Normal"/>
    <w:rsid w:val="000C30C7"/>
    <w:pPr>
      <w:widowControl/>
      <w:spacing w:before="100" w:beforeAutospacing="1" w:after="100" w:afterAutospacing="1"/>
    </w:pPr>
    <w:rPr>
      <w:rFonts w:ascii="Times New Roman" w:hAnsi="Times New Roman"/>
      <w:sz w:val="24"/>
      <w:lang w:eastAsia="en-GB" w:bidi="ar-SA"/>
    </w:rPr>
  </w:style>
  <w:style w:type="paragraph" w:customStyle="1" w:styleId="fsctmain0">
    <w:name w:val="fsctmain"/>
    <w:basedOn w:val="Normal"/>
    <w:rsid w:val="000C30C7"/>
    <w:pPr>
      <w:widowControl/>
      <w:spacing w:before="100" w:beforeAutospacing="1" w:after="100" w:afterAutospacing="1"/>
    </w:pPr>
    <w:rPr>
      <w:rFonts w:ascii="Times New Roman" w:hAnsi="Times New Roman"/>
      <w:sz w:val="24"/>
      <w:lang w:eastAsia="en-GB" w:bidi="ar-SA"/>
    </w:rPr>
  </w:style>
  <w:style w:type="paragraph" w:customStyle="1" w:styleId="fsctpara0">
    <w:name w:val="fsctpara"/>
    <w:basedOn w:val="Normal"/>
    <w:rsid w:val="000C30C7"/>
    <w:pPr>
      <w:widowControl/>
      <w:spacing w:before="100" w:beforeAutospacing="1" w:after="100" w:afterAutospacing="1"/>
    </w:pPr>
    <w:rPr>
      <w:rFonts w:ascii="Times New Roman" w:hAnsi="Times New Roman"/>
      <w:sz w:val="24"/>
      <w:lang w:eastAsia="en-GB" w:bidi="ar-SA"/>
    </w:rPr>
  </w:style>
  <w:style w:type="table" w:customStyle="1" w:styleId="MediumShading1-Accent31">
    <w:name w:val="Medium Shading 1 - Accent 31"/>
    <w:basedOn w:val="TableNormal"/>
    <w:next w:val="MediumShading1-Accent3"/>
    <w:uiPriority w:val="63"/>
    <w:rsid w:val="0055509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eGridLight">
    <w:name w:val="Grid Table Light"/>
    <w:basedOn w:val="TableNormal"/>
    <w:uiPriority w:val="40"/>
    <w:rsid w:val="00E62CD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SCnMain">
    <w:name w:val="FSC_n_Main"/>
    <w:basedOn w:val="FSCtPara"/>
    <w:qFormat/>
    <w:rsid w:val="00616F63"/>
    <w:rPr>
      <w:iCs w:val="0"/>
      <w:sz w:val="16"/>
      <w:szCs w:val="18"/>
    </w:rPr>
  </w:style>
  <w:style w:type="paragraph" w:customStyle="1" w:styleId="FSCtSubsub">
    <w:name w:val="FSC_t_Subsub"/>
    <w:basedOn w:val="FSCtPara"/>
    <w:qFormat/>
    <w:rsid w:val="00616F63"/>
    <w:pPr>
      <w:tabs>
        <w:tab w:val="clear" w:pos="1701"/>
        <w:tab w:val="left" w:pos="2835"/>
      </w:tabs>
      <w:ind w:left="3402" w:hanging="3402"/>
    </w:pPr>
  </w:style>
  <w:style w:type="paragraph" w:customStyle="1" w:styleId="fsctbladdh5">
    <w:name w:val="fsctbladdh5"/>
    <w:basedOn w:val="Normal"/>
    <w:rsid w:val="00BD432B"/>
    <w:pPr>
      <w:widowControl/>
      <w:spacing w:before="100" w:beforeAutospacing="1" w:after="100" w:afterAutospacing="1"/>
    </w:pPr>
    <w:rPr>
      <w:rFonts w:ascii="Times New Roman" w:hAnsi="Times New Roman"/>
      <w:sz w:val="24"/>
      <w:lang w:eastAsia="en-GB" w:bidi="ar-SA"/>
    </w:rPr>
  </w:style>
  <w:style w:type="paragraph" w:customStyle="1" w:styleId="fsctbladd1">
    <w:name w:val="fsctbladd1"/>
    <w:basedOn w:val="Normal"/>
    <w:rsid w:val="00BD432B"/>
    <w:pPr>
      <w:widowControl/>
      <w:spacing w:before="100" w:beforeAutospacing="1" w:after="100" w:afterAutospacing="1"/>
    </w:pPr>
    <w:rPr>
      <w:rFonts w:ascii="Times New Roman" w:hAnsi="Times New Roman"/>
      <w:sz w:val="24"/>
      <w:lang w:eastAsia="en-GB" w:bidi="ar-SA"/>
    </w:rPr>
  </w:style>
  <w:style w:type="paragraph" w:customStyle="1" w:styleId="fsctbladd2">
    <w:name w:val="fsctbladd2"/>
    <w:basedOn w:val="Normal"/>
    <w:rsid w:val="00BD432B"/>
    <w:pPr>
      <w:widowControl/>
      <w:spacing w:before="100" w:beforeAutospacing="1" w:after="100" w:afterAutospacing="1"/>
    </w:pPr>
    <w:rPr>
      <w:rFonts w:ascii="Times New Roman" w:hAnsi="Times New Roman"/>
      <w:sz w:val="24"/>
      <w:lang w:eastAsia="en-GB" w:bidi="ar-SA"/>
    </w:rPr>
  </w:style>
  <w:style w:type="table" w:customStyle="1" w:styleId="TableGrid1">
    <w:name w:val="Table Grid1"/>
    <w:basedOn w:val="TableNormal"/>
    <w:next w:val="TableGrid"/>
    <w:uiPriority w:val="59"/>
    <w:rsid w:val="00AB4113"/>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tblAddh3">
    <w:name w:val="FSC_tbl_Add_h3"/>
    <w:basedOn w:val="Normal"/>
    <w:rsid w:val="00AB4113"/>
    <w:pPr>
      <w:keepNext/>
      <w:keepLines/>
      <w:widowControl/>
      <w:spacing w:before="60" w:after="60"/>
      <w:ind w:left="1701" w:hanging="1701"/>
    </w:pPr>
    <w:rPr>
      <w:rFonts w:eastAsiaTheme="minorHAnsi" w:cs="Arial"/>
      <w:b/>
      <w:iCs/>
      <w:sz w:val="18"/>
      <w:szCs w:val="22"/>
      <w:lang w:bidi="ar-SA"/>
    </w:rPr>
  </w:style>
  <w:style w:type="paragraph" w:customStyle="1" w:styleId="FSCtblAddh50">
    <w:name w:val="FSC_tbl_Add_h5"/>
    <w:basedOn w:val="Normal"/>
    <w:rsid w:val="00AB4113"/>
    <w:pPr>
      <w:keepLines/>
      <w:widowControl/>
      <w:spacing w:before="60" w:after="60"/>
      <w:ind w:left="1701" w:hanging="1701"/>
    </w:pPr>
    <w:rPr>
      <w:rFonts w:eastAsiaTheme="minorHAnsi" w:cs="Arial"/>
      <w:i/>
      <w:sz w:val="18"/>
      <w:szCs w:val="22"/>
      <w:lang w:bidi="ar-SA"/>
    </w:rPr>
  </w:style>
  <w:style w:type="paragraph" w:customStyle="1" w:styleId="FSCtblAdd10">
    <w:name w:val="FSC_tbl_Add1"/>
    <w:basedOn w:val="Normal"/>
    <w:qFormat/>
    <w:rsid w:val="00AB4113"/>
    <w:pPr>
      <w:keepLines/>
      <w:widowControl/>
      <w:spacing w:before="20" w:after="20"/>
    </w:pPr>
    <w:rPr>
      <w:rFonts w:eastAsiaTheme="minorHAnsi" w:cs="Arial"/>
      <w:sz w:val="18"/>
      <w:szCs w:val="22"/>
      <w:lang w:bidi="ar-SA"/>
    </w:rPr>
  </w:style>
  <w:style w:type="paragraph" w:customStyle="1" w:styleId="FSCtblAdd20">
    <w:name w:val="FSC_tbl_Add2"/>
    <w:basedOn w:val="Normal"/>
    <w:qFormat/>
    <w:rsid w:val="00AB4113"/>
    <w:pPr>
      <w:keepLines/>
      <w:widowControl/>
      <w:spacing w:before="20" w:after="20"/>
      <w:jc w:val="right"/>
    </w:pPr>
    <w:rPr>
      <w:rFonts w:eastAsiaTheme="minorHAnsi" w:cs="Arial"/>
      <w:sz w:val="18"/>
      <w:szCs w:val="22"/>
      <w:lang w:bidi="ar-SA"/>
    </w:rPr>
  </w:style>
  <w:style w:type="paragraph" w:customStyle="1" w:styleId="FSPagenumber">
    <w:name w:val="FSPage number"/>
    <w:basedOn w:val="Normal"/>
    <w:uiPriority w:val="1"/>
    <w:qFormat/>
    <w:locked/>
    <w:rsid w:val="00D53297"/>
    <w:pPr>
      <w:widowControl/>
      <w:jc w:val="center"/>
    </w:pPr>
    <w:rPr>
      <w:rFonts w:eastAsiaTheme="minorHAnsi" w:cstheme="minorBidi"/>
      <w:sz w:val="20"/>
      <w:szCs w:val="20"/>
      <w:lang w:bidi="ar-SA"/>
    </w:rPr>
  </w:style>
  <w:style w:type="paragraph" w:customStyle="1" w:styleId="CitaviBibliography">
    <w:name w:val="Citavi Bibliography"/>
    <w:basedOn w:val="Normal"/>
    <w:rsid w:val="00D53297"/>
    <w:pPr>
      <w:widowControl/>
      <w:ind w:left="397" w:hanging="397"/>
    </w:pPr>
    <w:rPr>
      <w:rFonts w:ascii="Segoe UI" w:eastAsia="Segoe UI" w:hAnsi="Segoe UI" w:cs="Segoe UI"/>
      <w:sz w:val="18"/>
      <w:szCs w:val="18"/>
      <w:lang w:eastAsia="en-GB" w:bidi="ar-SA"/>
    </w:rPr>
  </w:style>
  <w:style w:type="table" w:styleId="TableColumns4">
    <w:name w:val="Table Columns 4"/>
    <w:basedOn w:val="TableNormal"/>
    <w:rsid w:val="00CF3012"/>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FSCh4Div">
    <w:name w:val="FSC_h4_Div"/>
    <w:basedOn w:val="Normal"/>
    <w:next w:val="FSCh5Section"/>
    <w:qFormat/>
    <w:rsid w:val="00CF3012"/>
    <w:pPr>
      <w:spacing w:before="240" w:after="240"/>
      <w:ind w:left="1701" w:hanging="1701"/>
      <w:outlineLvl w:val="3"/>
    </w:pPr>
    <w:rPr>
      <w:b/>
      <w:bCs/>
      <w:kern w:val="32"/>
      <w:sz w:val="26"/>
      <w:szCs w:val="32"/>
      <w:lang w:eastAsia="en-AU" w:bidi="ar-SA"/>
    </w:rPr>
  </w:style>
  <w:style w:type="paragraph" w:customStyle="1" w:styleId="FSCnPara">
    <w:name w:val="FSC_n_Para"/>
    <w:basedOn w:val="FSCtSubpara"/>
    <w:qFormat/>
    <w:rsid w:val="00CF3012"/>
    <w:rPr>
      <w:sz w:val="16"/>
    </w:rPr>
  </w:style>
  <w:style w:type="paragraph" w:customStyle="1" w:styleId="FSCtDefn">
    <w:name w:val="FSC_t_Defn"/>
    <w:basedOn w:val="FSCtMain"/>
    <w:rsid w:val="00CF3012"/>
    <w:pPr>
      <w:ind w:firstLine="0"/>
    </w:pPr>
  </w:style>
  <w:style w:type="paragraph" w:customStyle="1" w:styleId="FSCDraftingitem">
    <w:name w:val="FSC_Drafting_item"/>
    <w:basedOn w:val="Normal"/>
    <w:qFormat/>
    <w:rsid w:val="00CF301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CF3012"/>
    <w:pPr>
      <w:spacing w:before="120" w:after="120"/>
      <w:ind w:left="851" w:hanging="851"/>
    </w:pPr>
    <w:rPr>
      <w:b/>
      <w:sz w:val="20"/>
      <w:szCs w:val="20"/>
      <w:lang w:bidi="ar-SA"/>
    </w:rPr>
  </w:style>
  <w:style w:type="character" w:styleId="Strong">
    <w:name w:val="Strong"/>
    <w:basedOn w:val="DefaultParagraphFont"/>
    <w:uiPriority w:val="22"/>
    <w:qFormat/>
    <w:rsid w:val="000669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695">
      <w:bodyDiv w:val="1"/>
      <w:marLeft w:val="0"/>
      <w:marRight w:val="0"/>
      <w:marTop w:val="0"/>
      <w:marBottom w:val="0"/>
      <w:divBdr>
        <w:top w:val="none" w:sz="0" w:space="0" w:color="auto"/>
        <w:left w:val="none" w:sz="0" w:space="0" w:color="auto"/>
        <w:bottom w:val="none" w:sz="0" w:space="0" w:color="auto"/>
        <w:right w:val="none" w:sz="0" w:space="0" w:color="auto"/>
      </w:divBdr>
    </w:div>
    <w:div w:id="12608960">
      <w:bodyDiv w:val="1"/>
      <w:marLeft w:val="0"/>
      <w:marRight w:val="0"/>
      <w:marTop w:val="0"/>
      <w:marBottom w:val="0"/>
      <w:divBdr>
        <w:top w:val="none" w:sz="0" w:space="0" w:color="auto"/>
        <w:left w:val="none" w:sz="0" w:space="0" w:color="auto"/>
        <w:bottom w:val="none" w:sz="0" w:space="0" w:color="auto"/>
        <w:right w:val="none" w:sz="0" w:space="0" w:color="auto"/>
      </w:divBdr>
      <w:divsChild>
        <w:div w:id="232396204">
          <w:marLeft w:val="0"/>
          <w:marRight w:val="0"/>
          <w:marTop w:val="0"/>
          <w:marBottom w:val="0"/>
          <w:divBdr>
            <w:top w:val="none" w:sz="0" w:space="0" w:color="auto"/>
            <w:left w:val="none" w:sz="0" w:space="0" w:color="auto"/>
            <w:bottom w:val="none" w:sz="0" w:space="0" w:color="auto"/>
            <w:right w:val="none" w:sz="0" w:space="0" w:color="auto"/>
          </w:divBdr>
          <w:divsChild>
            <w:div w:id="1456561759">
              <w:marLeft w:val="0"/>
              <w:marRight w:val="0"/>
              <w:marTop w:val="0"/>
              <w:marBottom w:val="0"/>
              <w:divBdr>
                <w:top w:val="none" w:sz="0" w:space="0" w:color="auto"/>
                <w:left w:val="none" w:sz="0" w:space="0" w:color="auto"/>
                <w:bottom w:val="none" w:sz="0" w:space="0" w:color="auto"/>
                <w:right w:val="none" w:sz="0" w:space="0" w:color="auto"/>
              </w:divBdr>
              <w:divsChild>
                <w:div w:id="1191527791">
                  <w:marLeft w:val="0"/>
                  <w:marRight w:val="0"/>
                  <w:marTop w:val="0"/>
                  <w:marBottom w:val="0"/>
                  <w:divBdr>
                    <w:top w:val="none" w:sz="0" w:space="0" w:color="auto"/>
                    <w:left w:val="none" w:sz="0" w:space="0" w:color="auto"/>
                    <w:bottom w:val="none" w:sz="0" w:space="0" w:color="auto"/>
                    <w:right w:val="none" w:sz="0" w:space="0" w:color="auto"/>
                  </w:divBdr>
                  <w:divsChild>
                    <w:div w:id="403375373">
                      <w:marLeft w:val="3000"/>
                      <w:marRight w:val="0"/>
                      <w:marTop w:val="0"/>
                      <w:marBottom w:val="75"/>
                      <w:divBdr>
                        <w:top w:val="none" w:sz="0" w:space="0" w:color="auto"/>
                        <w:left w:val="none" w:sz="0" w:space="0" w:color="auto"/>
                        <w:bottom w:val="none" w:sz="0" w:space="0" w:color="auto"/>
                        <w:right w:val="none" w:sz="0" w:space="0" w:color="auto"/>
                      </w:divBdr>
                      <w:divsChild>
                        <w:div w:id="1683043162">
                          <w:marLeft w:val="0"/>
                          <w:marRight w:val="0"/>
                          <w:marTop w:val="0"/>
                          <w:marBottom w:val="0"/>
                          <w:divBdr>
                            <w:top w:val="none" w:sz="0" w:space="0" w:color="auto"/>
                            <w:left w:val="none" w:sz="0" w:space="0" w:color="auto"/>
                            <w:bottom w:val="none" w:sz="0" w:space="0" w:color="auto"/>
                            <w:right w:val="none" w:sz="0" w:space="0" w:color="auto"/>
                          </w:divBdr>
                          <w:divsChild>
                            <w:div w:id="975523374">
                              <w:marLeft w:val="0"/>
                              <w:marRight w:val="0"/>
                              <w:marTop w:val="0"/>
                              <w:marBottom w:val="0"/>
                              <w:divBdr>
                                <w:top w:val="none" w:sz="0" w:space="0" w:color="auto"/>
                                <w:left w:val="none" w:sz="0" w:space="0" w:color="auto"/>
                                <w:bottom w:val="none" w:sz="0" w:space="0" w:color="auto"/>
                                <w:right w:val="none" w:sz="0" w:space="0" w:color="auto"/>
                              </w:divBdr>
                              <w:divsChild>
                                <w:div w:id="1201750209">
                                  <w:marLeft w:val="0"/>
                                  <w:marRight w:val="0"/>
                                  <w:marTop w:val="0"/>
                                  <w:marBottom w:val="0"/>
                                  <w:divBdr>
                                    <w:top w:val="none" w:sz="0" w:space="0" w:color="auto"/>
                                    <w:left w:val="none" w:sz="0" w:space="0" w:color="auto"/>
                                    <w:bottom w:val="none" w:sz="0" w:space="0" w:color="auto"/>
                                    <w:right w:val="none" w:sz="0" w:space="0" w:color="auto"/>
                                  </w:divBdr>
                                  <w:divsChild>
                                    <w:div w:id="75007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333234">
      <w:bodyDiv w:val="1"/>
      <w:marLeft w:val="0"/>
      <w:marRight w:val="0"/>
      <w:marTop w:val="0"/>
      <w:marBottom w:val="0"/>
      <w:divBdr>
        <w:top w:val="none" w:sz="0" w:space="0" w:color="auto"/>
        <w:left w:val="none" w:sz="0" w:space="0" w:color="auto"/>
        <w:bottom w:val="none" w:sz="0" w:space="0" w:color="auto"/>
        <w:right w:val="none" w:sz="0" w:space="0" w:color="auto"/>
      </w:divBdr>
      <w:divsChild>
        <w:div w:id="1637643796">
          <w:marLeft w:val="0"/>
          <w:marRight w:val="0"/>
          <w:marTop w:val="0"/>
          <w:marBottom w:val="0"/>
          <w:divBdr>
            <w:top w:val="none" w:sz="0" w:space="0" w:color="auto"/>
            <w:left w:val="none" w:sz="0" w:space="0" w:color="auto"/>
            <w:bottom w:val="none" w:sz="0" w:space="0" w:color="auto"/>
            <w:right w:val="none" w:sz="0" w:space="0" w:color="auto"/>
          </w:divBdr>
          <w:divsChild>
            <w:div w:id="161698768">
              <w:marLeft w:val="0"/>
              <w:marRight w:val="0"/>
              <w:marTop w:val="0"/>
              <w:marBottom w:val="0"/>
              <w:divBdr>
                <w:top w:val="none" w:sz="0" w:space="0" w:color="auto"/>
                <w:left w:val="none" w:sz="0" w:space="0" w:color="auto"/>
                <w:bottom w:val="none" w:sz="0" w:space="0" w:color="auto"/>
                <w:right w:val="none" w:sz="0" w:space="0" w:color="auto"/>
              </w:divBdr>
              <w:divsChild>
                <w:div w:id="1966735824">
                  <w:marLeft w:val="0"/>
                  <w:marRight w:val="0"/>
                  <w:marTop w:val="0"/>
                  <w:marBottom w:val="0"/>
                  <w:divBdr>
                    <w:top w:val="none" w:sz="0" w:space="0" w:color="auto"/>
                    <w:left w:val="none" w:sz="0" w:space="0" w:color="auto"/>
                    <w:bottom w:val="none" w:sz="0" w:space="0" w:color="auto"/>
                    <w:right w:val="none" w:sz="0" w:space="0" w:color="auto"/>
                  </w:divBdr>
                  <w:divsChild>
                    <w:div w:id="380830306">
                      <w:marLeft w:val="0"/>
                      <w:marRight w:val="0"/>
                      <w:marTop w:val="0"/>
                      <w:marBottom w:val="0"/>
                      <w:divBdr>
                        <w:top w:val="none" w:sz="0" w:space="0" w:color="auto"/>
                        <w:left w:val="none" w:sz="0" w:space="0" w:color="auto"/>
                        <w:bottom w:val="none" w:sz="0" w:space="0" w:color="auto"/>
                        <w:right w:val="none" w:sz="0" w:space="0" w:color="auto"/>
                      </w:divBdr>
                      <w:divsChild>
                        <w:div w:id="1693871529">
                          <w:marLeft w:val="0"/>
                          <w:marRight w:val="0"/>
                          <w:marTop w:val="0"/>
                          <w:marBottom w:val="0"/>
                          <w:divBdr>
                            <w:top w:val="none" w:sz="0" w:space="0" w:color="auto"/>
                            <w:left w:val="none" w:sz="0" w:space="0" w:color="auto"/>
                            <w:bottom w:val="none" w:sz="0" w:space="0" w:color="auto"/>
                            <w:right w:val="none" w:sz="0" w:space="0" w:color="auto"/>
                          </w:divBdr>
                          <w:divsChild>
                            <w:div w:id="412822023">
                              <w:marLeft w:val="0"/>
                              <w:marRight w:val="0"/>
                              <w:marTop w:val="0"/>
                              <w:marBottom w:val="0"/>
                              <w:divBdr>
                                <w:top w:val="none" w:sz="0" w:space="0" w:color="auto"/>
                                <w:left w:val="none" w:sz="0" w:space="0" w:color="auto"/>
                                <w:bottom w:val="none" w:sz="0" w:space="0" w:color="auto"/>
                                <w:right w:val="none" w:sz="0" w:space="0" w:color="auto"/>
                              </w:divBdr>
                              <w:divsChild>
                                <w:div w:id="1098523628">
                                  <w:marLeft w:val="0"/>
                                  <w:marRight w:val="0"/>
                                  <w:marTop w:val="0"/>
                                  <w:marBottom w:val="0"/>
                                  <w:divBdr>
                                    <w:top w:val="none" w:sz="0" w:space="0" w:color="auto"/>
                                    <w:left w:val="none" w:sz="0" w:space="0" w:color="auto"/>
                                    <w:bottom w:val="none" w:sz="0" w:space="0" w:color="auto"/>
                                    <w:right w:val="none" w:sz="0" w:space="0" w:color="auto"/>
                                  </w:divBdr>
                                  <w:divsChild>
                                    <w:div w:id="959068199">
                                      <w:marLeft w:val="0"/>
                                      <w:marRight w:val="0"/>
                                      <w:marTop w:val="0"/>
                                      <w:marBottom w:val="0"/>
                                      <w:divBdr>
                                        <w:top w:val="none" w:sz="0" w:space="0" w:color="auto"/>
                                        <w:left w:val="none" w:sz="0" w:space="0" w:color="auto"/>
                                        <w:bottom w:val="none" w:sz="0" w:space="0" w:color="auto"/>
                                        <w:right w:val="none" w:sz="0" w:space="0" w:color="auto"/>
                                      </w:divBdr>
                                      <w:divsChild>
                                        <w:div w:id="1960263169">
                                          <w:marLeft w:val="0"/>
                                          <w:marRight w:val="0"/>
                                          <w:marTop w:val="0"/>
                                          <w:marBottom w:val="0"/>
                                          <w:divBdr>
                                            <w:top w:val="none" w:sz="0" w:space="0" w:color="auto"/>
                                            <w:left w:val="none" w:sz="0" w:space="0" w:color="auto"/>
                                            <w:bottom w:val="none" w:sz="0" w:space="0" w:color="auto"/>
                                            <w:right w:val="none" w:sz="0" w:space="0" w:color="auto"/>
                                          </w:divBdr>
                                          <w:divsChild>
                                            <w:div w:id="1490051389">
                                              <w:marLeft w:val="0"/>
                                              <w:marRight w:val="0"/>
                                              <w:marTop w:val="0"/>
                                              <w:marBottom w:val="0"/>
                                              <w:divBdr>
                                                <w:top w:val="none" w:sz="0" w:space="0" w:color="auto"/>
                                                <w:left w:val="none" w:sz="0" w:space="0" w:color="auto"/>
                                                <w:bottom w:val="none" w:sz="0" w:space="0" w:color="auto"/>
                                                <w:right w:val="none" w:sz="0" w:space="0" w:color="auto"/>
                                              </w:divBdr>
                                              <w:divsChild>
                                                <w:div w:id="1913006926">
                                                  <w:marLeft w:val="0"/>
                                                  <w:marRight w:val="0"/>
                                                  <w:marTop w:val="0"/>
                                                  <w:marBottom w:val="0"/>
                                                  <w:divBdr>
                                                    <w:top w:val="none" w:sz="0" w:space="0" w:color="auto"/>
                                                    <w:left w:val="none" w:sz="0" w:space="0" w:color="auto"/>
                                                    <w:bottom w:val="none" w:sz="0" w:space="0" w:color="auto"/>
                                                    <w:right w:val="none" w:sz="0" w:space="0" w:color="auto"/>
                                                  </w:divBdr>
                                                  <w:divsChild>
                                                    <w:div w:id="438839118">
                                                      <w:marLeft w:val="0"/>
                                                      <w:marRight w:val="0"/>
                                                      <w:marTop w:val="0"/>
                                                      <w:marBottom w:val="0"/>
                                                      <w:divBdr>
                                                        <w:top w:val="none" w:sz="0" w:space="0" w:color="auto"/>
                                                        <w:left w:val="none" w:sz="0" w:space="0" w:color="auto"/>
                                                        <w:bottom w:val="none" w:sz="0" w:space="0" w:color="auto"/>
                                                        <w:right w:val="none" w:sz="0" w:space="0" w:color="auto"/>
                                                      </w:divBdr>
                                                      <w:divsChild>
                                                        <w:div w:id="39790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762560">
      <w:bodyDiv w:val="1"/>
      <w:marLeft w:val="0"/>
      <w:marRight w:val="0"/>
      <w:marTop w:val="0"/>
      <w:marBottom w:val="0"/>
      <w:divBdr>
        <w:top w:val="none" w:sz="0" w:space="0" w:color="auto"/>
        <w:left w:val="none" w:sz="0" w:space="0" w:color="auto"/>
        <w:bottom w:val="none" w:sz="0" w:space="0" w:color="auto"/>
        <w:right w:val="none" w:sz="0" w:space="0" w:color="auto"/>
      </w:divBdr>
    </w:div>
    <w:div w:id="159857160">
      <w:bodyDiv w:val="1"/>
      <w:marLeft w:val="0"/>
      <w:marRight w:val="0"/>
      <w:marTop w:val="0"/>
      <w:marBottom w:val="0"/>
      <w:divBdr>
        <w:top w:val="none" w:sz="0" w:space="0" w:color="auto"/>
        <w:left w:val="none" w:sz="0" w:space="0" w:color="auto"/>
        <w:bottom w:val="none" w:sz="0" w:space="0" w:color="auto"/>
        <w:right w:val="none" w:sz="0" w:space="0" w:color="auto"/>
      </w:divBdr>
    </w:div>
    <w:div w:id="170684173">
      <w:bodyDiv w:val="1"/>
      <w:marLeft w:val="0"/>
      <w:marRight w:val="0"/>
      <w:marTop w:val="0"/>
      <w:marBottom w:val="0"/>
      <w:divBdr>
        <w:top w:val="none" w:sz="0" w:space="0" w:color="auto"/>
        <w:left w:val="none" w:sz="0" w:space="0" w:color="auto"/>
        <w:bottom w:val="none" w:sz="0" w:space="0" w:color="auto"/>
        <w:right w:val="none" w:sz="0" w:space="0" w:color="auto"/>
      </w:divBdr>
    </w:div>
    <w:div w:id="199898229">
      <w:bodyDiv w:val="1"/>
      <w:marLeft w:val="0"/>
      <w:marRight w:val="0"/>
      <w:marTop w:val="0"/>
      <w:marBottom w:val="0"/>
      <w:divBdr>
        <w:top w:val="none" w:sz="0" w:space="0" w:color="auto"/>
        <w:left w:val="none" w:sz="0" w:space="0" w:color="auto"/>
        <w:bottom w:val="none" w:sz="0" w:space="0" w:color="auto"/>
        <w:right w:val="none" w:sz="0" w:space="0" w:color="auto"/>
      </w:divBdr>
      <w:divsChild>
        <w:div w:id="1419253682">
          <w:marLeft w:val="0"/>
          <w:marRight w:val="0"/>
          <w:marTop w:val="0"/>
          <w:marBottom w:val="0"/>
          <w:divBdr>
            <w:top w:val="none" w:sz="0" w:space="0" w:color="auto"/>
            <w:left w:val="none" w:sz="0" w:space="0" w:color="auto"/>
            <w:bottom w:val="none" w:sz="0" w:space="0" w:color="auto"/>
            <w:right w:val="none" w:sz="0" w:space="0" w:color="auto"/>
          </w:divBdr>
          <w:divsChild>
            <w:div w:id="1653218111">
              <w:marLeft w:val="0"/>
              <w:marRight w:val="0"/>
              <w:marTop w:val="0"/>
              <w:marBottom w:val="0"/>
              <w:divBdr>
                <w:top w:val="none" w:sz="0" w:space="0" w:color="auto"/>
                <w:left w:val="none" w:sz="0" w:space="0" w:color="auto"/>
                <w:bottom w:val="none" w:sz="0" w:space="0" w:color="auto"/>
                <w:right w:val="none" w:sz="0" w:space="0" w:color="auto"/>
              </w:divBdr>
              <w:divsChild>
                <w:div w:id="1752313902">
                  <w:marLeft w:val="0"/>
                  <w:marRight w:val="0"/>
                  <w:marTop w:val="0"/>
                  <w:marBottom w:val="0"/>
                  <w:divBdr>
                    <w:top w:val="none" w:sz="0" w:space="0" w:color="auto"/>
                    <w:left w:val="none" w:sz="0" w:space="0" w:color="auto"/>
                    <w:bottom w:val="none" w:sz="0" w:space="0" w:color="auto"/>
                    <w:right w:val="none" w:sz="0" w:space="0" w:color="auto"/>
                  </w:divBdr>
                  <w:divsChild>
                    <w:div w:id="202787598">
                      <w:marLeft w:val="0"/>
                      <w:marRight w:val="0"/>
                      <w:marTop w:val="0"/>
                      <w:marBottom w:val="0"/>
                      <w:divBdr>
                        <w:top w:val="none" w:sz="0" w:space="0" w:color="auto"/>
                        <w:left w:val="none" w:sz="0" w:space="0" w:color="auto"/>
                        <w:bottom w:val="none" w:sz="0" w:space="0" w:color="auto"/>
                        <w:right w:val="none" w:sz="0" w:space="0" w:color="auto"/>
                      </w:divBdr>
                      <w:divsChild>
                        <w:div w:id="162472055">
                          <w:marLeft w:val="0"/>
                          <w:marRight w:val="0"/>
                          <w:marTop w:val="0"/>
                          <w:marBottom w:val="0"/>
                          <w:divBdr>
                            <w:top w:val="none" w:sz="0" w:space="0" w:color="auto"/>
                            <w:left w:val="none" w:sz="0" w:space="0" w:color="auto"/>
                            <w:bottom w:val="none" w:sz="0" w:space="0" w:color="auto"/>
                            <w:right w:val="none" w:sz="0" w:space="0" w:color="auto"/>
                          </w:divBdr>
                          <w:divsChild>
                            <w:div w:id="609508465">
                              <w:marLeft w:val="0"/>
                              <w:marRight w:val="0"/>
                              <w:marTop w:val="0"/>
                              <w:marBottom w:val="0"/>
                              <w:divBdr>
                                <w:top w:val="none" w:sz="0" w:space="0" w:color="auto"/>
                                <w:left w:val="none" w:sz="0" w:space="0" w:color="auto"/>
                                <w:bottom w:val="none" w:sz="0" w:space="0" w:color="auto"/>
                                <w:right w:val="none" w:sz="0" w:space="0" w:color="auto"/>
                              </w:divBdr>
                              <w:divsChild>
                                <w:div w:id="1273434678">
                                  <w:marLeft w:val="0"/>
                                  <w:marRight w:val="0"/>
                                  <w:marTop w:val="0"/>
                                  <w:marBottom w:val="0"/>
                                  <w:divBdr>
                                    <w:top w:val="none" w:sz="0" w:space="0" w:color="auto"/>
                                    <w:left w:val="none" w:sz="0" w:space="0" w:color="auto"/>
                                    <w:bottom w:val="none" w:sz="0" w:space="0" w:color="auto"/>
                                    <w:right w:val="none" w:sz="0" w:space="0" w:color="auto"/>
                                  </w:divBdr>
                                  <w:divsChild>
                                    <w:div w:id="695929605">
                                      <w:marLeft w:val="0"/>
                                      <w:marRight w:val="0"/>
                                      <w:marTop w:val="0"/>
                                      <w:marBottom w:val="0"/>
                                      <w:divBdr>
                                        <w:top w:val="none" w:sz="0" w:space="0" w:color="auto"/>
                                        <w:left w:val="none" w:sz="0" w:space="0" w:color="auto"/>
                                        <w:bottom w:val="none" w:sz="0" w:space="0" w:color="auto"/>
                                        <w:right w:val="none" w:sz="0" w:space="0" w:color="auto"/>
                                      </w:divBdr>
                                      <w:divsChild>
                                        <w:div w:id="1771314322">
                                          <w:marLeft w:val="0"/>
                                          <w:marRight w:val="0"/>
                                          <w:marTop w:val="0"/>
                                          <w:marBottom w:val="0"/>
                                          <w:divBdr>
                                            <w:top w:val="none" w:sz="0" w:space="0" w:color="auto"/>
                                            <w:left w:val="none" w:sz="0" w:space="0" w:color="auto"/>
                                            <w:bottom w:val="none" w:sz="0" w:space="0" w:color="auto"/>
                                            <w:right w:val="none" w:sz="0" w:space="0" w:color="auto"/>
                                          </w:divBdr>
                                          <w:divsChild>
                                            <w:div w:id="1861621774">
                                              <w:marLeft w:val="0"/>
                                              <w:marRight w:val="0"/>
                                              <w:marTop w:val="0"/>
                                              <w:marBottom w:val="0"/>
                                              <w:divBdr>
                                                <w:top w:val="none" w:sz="0" w:space="0" w:color="auto"/>
                                                <w:left w:val="none" w:sz="0" w:space="0" w:color="auto"/>
                                                <w:bottom w:val="none" w:sz="0" w:space="0" w:color="auto"/>
                                                <w:right w:val="none" w:sz="0" w:space="0" w:color="auto"/>
                                              </w:divBdr>
                                              <w:divsChild>
                                                <w:div w:id="89654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1138010">
      <w:bodyDiv w:val="1"/>
      <w:marLeft w:val="0"/>
      <w:marRight w:val="0"/>
      <w:marTop w:val="0"/>
      <w:marBottom w:val="0"/>
      <w:divBdr>
        <w:top w:val="none" w:sz="0" w:space="0" w:color="auto"/>
        <w:left w:val="none" w:sz="0" w:space="0" w:color="auto"/>
        <w:bottom w:val="none" w:sz="0" w:space="0" w:color="auto"/>
        <w:right w:val="none" w:sz="0" w:space="0" w:color="auto"/>
      </w:divBdr>
    </w:div>
    <w:div w:id="383068851">
      <w:bodyDiv w:val="1"/>
      <w:marLeft w:val="0"/>
      <w:marRight w:val="0"/>
      <w:marTop w:val="0"/>
      <w:marBottom w:val="0"/>
      <w:divBdr>
        <w:top w:val="none" w:sz="0" w:space="0" w:color="auto"/>
        <w:left w:val="none" w:sz="0" w:space="0" w:color="auto"/>
        <w:bottom w:val="none" w:sz="0" w:space="0" w:color="auto"/>
        <w:right w:val="none" w:sz="0" w:space="0" w:color="auto"/>
      </w:divBdr>
    </w:div>
    <w:div w:id="436365453">
      <w:bodyDiv w:val="1"/>
      <w:marLeft w:val="0"/>
      <w:marRight w:val="0"/>
      <w:marTop w:val="0"/>
      <w:marBottom w:val="0"/>
      <w:divBdr>
        <w:top w:val="none" w:sz="0" w:space="0" w:color="auto"/>
        <w:left w:val="none" w:sz="0" w:space="0" w:color="auto"/>
        <w:bottom w:val="none" w:sz="0" w:space="0" w:color="auto"/>
        <w:right w:val="none" w:sz="0" w:space="0" w:color="auto"/>
      </w:divBdr>
    </w:div>
    <w:div w:id="479809117">
      <w:bodyDiv w:val="1"/>
      <w:marLeft w:val="0"/>
      <w:marRight w:val="0"/>
      <w:marTop w:val="0"/>
      <w:marBottom w:val="0"/>
      <w:divBdr>
        <w:top w:val="none" w:sz="0" w:space="0" w:color="auto"/>
        <w:left w:val="none" w:sz="0" w:space="0" w:color="auto"/>
        <w:bottom w:val="none" w:sz="0" w:space="0" w:color="auto"/>
        <w:right w:val="none" w:sz="0" w:space="0" w:color="auto"/>
      </w:divBdr>
    </w:div>
    <w:div w:id="829298460">
      <w:bodyDiv w:val="1"/>
      <w:marLeft w:val="0"/>
      <w:marRight w:val="0"/>
      <w:marTop w:val="0"/>
      <w:marBottom w:val="0"/>
      <w:divBdr>
        <w:top w:val="none" w:sz="0" w:space="0" w:color="auto"/>
        <w:left w:val="none" w:sz="0" w:space="0" w:color="auto"/>
        <w:bottom w:val="none" w:sz="0" w:space="0" w:color="auto"/>
        <w:right w:val="none" w:sz="0" w:space="0" w:color="auto"/>
      </w:divBdr>
    </w:div>
    <w:div w:id="881282265">
      <w:bodyDiv w:val="1"/>
      <w:marLeft w:val="0"/>
      <w:marRight w:val="0"/>
      <w:marTop w:val="0"/>
      <w:marBottom w:val="0"/>
      <w:divBdr>
        <w:top w:val="none" w:sz="0" w:space="0" w:color="auto"/>
        <w:left w:val="none" w:sz="0" w:space="0" w:color="auto"/>
        <w:bottom w:val="none" w:sz="0" w:space="0" w:color="auto"/>
        <w:right w:val="none" w:sz="0" w:space="0" w:color="auto"/>
      </w:divBdr>
    </w:div>
    <w:div w:id="895697789">
      <w:bodyDiv w:val="1"/>
      <w:marLeft w:val="390"/>
      <w:marRight w:val="390"/>
      <w:marTop w:val="0"/>
      <w:marBottom w:val="0"/>
      <w:divBdr>
        <w:top w:val="none" w:sz="0" w:space="0" w:color="auto"/>
        <w:left w:val="none" w:sz="0" w:space="0" w:color="auto"/>
        <w:bottom w:val="none" w:sz="0" w:space="0" w:color="auto"/>
        <w:right w:val="none" w:sz="0" w:space="0" w:color="auto"/>
      </w:divBdr>
      <w:divsChild>
        <w:div w:id="414789263">
          <w:marLeft w:val="0"/>
          <w:marRight w:val="0"/>
          <w:marTop w:val="0"/>
          <w:marBottom w:val="0"/>
          <w:divBdr>
            <w:top w:val="none" w:sz="0" w:space="0" w:color="auto"/>
            <w:left w:val="none" w:sz="0" w:space="0" w:color="auto"/>
            <w:bottom w:val="none" w:sz="0" w:space="0" w:color="auto"/>
            <w:right w:val="none" w:sz="0" w:space="0" w:color="auto"/>
          </w:divBdr>
          <w:divsChild>
            <w:div w:id="1400903732">
              <w:marLeft w:val="0"/>
              <w:marRight w:val="0"/>
              <w:marTop w:val="0"/>
              <w:marBottom w:val="0"/>
              <w:divBdr>
                <w:top w:val="none" w:sz="0" w:space="0" w:color="auto"/>
                <w:left w:val="none" w:sz="0" w:space="0" w:color="auto"/>
                <w:bottom w:val="none" w:sz="0" w:space="0" w:color="auto"/>
                <w:right w:val="none" w:sz="0" w:space="0" w:color="auto"/>
              </w:divBdr>
              <w:divsChild>
                <w:div w:id="2079012870">
                  <w:marLeft w:val="-150"/>
                  <w:marRight w:val="-150"/>
                  <w:marTop w:val="0"/>
                  <w:marBottom w:val="0"/>
                  <w:divBdr>
                    <w:top w:val="none" w:sz="0" w:space="0" w:color="auto"/>
                    <w:left w:val="none" w:sz="0" w:space="0" w:color="auto"/>
                    <w:bottom w:val="none" w:sz="0" w:space="0" w:color="auto"/>
                    <w:right w:val="none" w:sz="0" w:space="0" w:color="auto"/>
                  </w:divBdr>
                  <w:divsChild>
                    <w:div w:id="1774784319">
                      <w:marLeft w:val="0"/>
                      <w:marRight w:val="0"/>
                      <w:marTop w:val="0"/>
                      <w:marBottom w:val="0"/>
                      <w:divBdr>
                        <w:top w:val="none" w:sz="0" w:space="0" w:color="auto"/>
                        <w:left w:val="none" w:sz="0" w:space="0" w:color="auto"/>
                        <w:bottom w:val="none" w:sz="0" w:space="0" w:color="auto"/>
                        <w:right w:val="none" w:sz="0" w:space="0" w:color="auto"/>
                      </w:divBdr>
                      <w:divsChild>
                        <w:div w:id="5989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086420">
      <w:bodyDiv w:val="1"/>
      <w:marLeft w:val="0"/>
      <w:marRight w:val="0"/>
      <w:marTop w:val="0"/>
      <w:marBottom w:val="0"/>
      <w:divBdr>
        <w:top w:val="none" w:sz="0" w:space="0" w:color="auto"/>
        <w:left w:val="none" w:sz="0" w:space="0" w:color="auto"/>
        <w:bottom w:val="none" w:sz="0" w:space="0" w:color="auto"/>
        <w:right w:val="none" w:sz="0" w:space="0" w:color="auto"/>
      </w:divBdr>
    </w:div>
    <w:div w:id="1286084900">
      <w:bodyDiv w:val="1"/>
      <w:marLeft w:val="0"/>
      <w:marRight w:val="0"/>
      <w:marTop w:val="0"/>
      <w:marBottom w:val="0"/>
      <w:divBdr>
        <w:top w:val="none" w:sz="0" w:space="0" w:color="auto"/>
        <w:left w:val="none" w:sz="0" w:space="0" w:color="auto"/>
        <w:bottom w:val="none" w:sz="0" w:space="0" w:color="auto"/>
        <w:right w:val="none" w:sz="0" w:space="0" w:color="auto"/>
      </w:divBdr>
    </w:div>
    <w:div w:id="1463232156">
      <w:bodyDiv w:val="1"/>
      <w:marLeft w:val="390"/>
      <w:marRight w:val="390"/>
      <w:marTop w:val="0"/>
      <w:marBottom w:val="0"/>
      <w:divBdr>
        <w:top w:val="none" w:sz="0" w:space="0" w:color="auto"/>
        <w:left w:val="none" w:sz="0" w:space="0" w:color="auto"/>
        <w:bottom w:val="none" w:sz="0" w:space="0" w:color="auto"/>
        <w:right w:val="none" w:sz="0" w:space="0" w:color="auto"/>
      </w:divBdr>
      <w:divsChild>
        <w:div w:id="373848422">
          <w:marLeft w:val="0"/>
          <w:marRight w:val="0"/>
          <w:marTop w:val="0"/>
          <w:marBottom w:val="0"/>
          <w:divBdr>
            <w:top w:val="none" w:sz="0" w:space="0" w:color="auto"/>
            <w:left w:val="none" w:sz="0" w:space="0" w:color="auto"/>
            <w:bottom w:val="none" w:sz="0" w:space="0" w:color="auto"/>
            <w:right w:val="none" w:sz="0" w:space="0" w:color="auto"/>
          </w:divBdr>
          <w:divsChild>
            <w:div w:id="419834917">
              <w:marLeft w:val="0"/>
              <w:marRight w:val="0"/>
              <w:marTop w:val="0"/>
              <w:marBottom w:val="0"/>
              <w:divBdr>
                <w:top w:val="none" w:sz="0" w:space="0" w:color="auto"/>
                <w:left w:val="none" w:sz="0" w:space="0" w:color="auto"/>
                <w:bottom w:val="none" w:sz="0" w:space="0" w:color="auto"/>
                <w:right w:val="none" w:sz="0" w:space="0" w:color="auto"/>
              </w:divBdr>
              <w:divsChild>
                <w:div w:id="972832529">
                  <w:marLeft w:val="-150"/>
                  <w:marRight w:val="-150"/>
                  <w:marTop w:val="0"/>
                  <w:marBottom w:val="0"/>
                  <w:divBdr>
                    <w:top w:val="none" w:sz="0" w:space="0" w:color="auto"/>
                    <w:left w:val="none" w:sz="0" w:space="0" w:color="auto"/>
                    <w:bottom w:val="none" w:sz="0" w:space="0" w:color="auto"/>
                    <w:right w:val="none" w:sz="0" w:space="0" w:color="auto"/>
                  </w:divBdr>
                  <w:divsChild>
                    <w:div w:id="79876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150841">
      <w:bodyDiv w:val="1"/>
      <w:marLeft w:val="0"/>
      <w:marRight w:val="0"/>
      <w:marTop w:val="0"/>
      <w:marBottom w:val="0"/>
      <w:divBdr>
        <w:top w:val="none" w:sz="0" w:space="0" w:color="auto"/>
        <w:left w:val="none" w:sz="0" w:space="0" w:color="auto"/>
        <w:bottom w:val="none" w:sz="0" w:space="0" w:color="auto"/>
        <w:right w:val="none" w:sz="0" w:space="0" w:color="auto"/>
      </w:divBdr>
      <w:divsChild>
        <w:div w:id="481389668">
          <w:marLeft w:val="0"/>
          <w:marRight w:val="0"/>
          <w:marTop w:val="0"/>
          <w:marBottom w:val="0"/>
          <w:divBdr>
            <w:top w:val="none" w:sz="0" w:space="0" w:color="auto"/>
            <w:left w:val="none" w:sz="0" w:space="0" w:color="auto"/>
            <w:bottom w:val="none" w:sz="0" w:space="0" w:color="auto"/>
            <w:right w:val="none" w:sz="0" w:space="0" w:color="auto"/>
          </w:divBdr>
          <w:divsChild>
            <w:div w:id="595019952">
              <w:marLeft w:val="0"/>
              <w:marRight w:val="0"/>
              <w:marTop w:val="0"/>
              <w:marBottom w:val="0"/>
              <w:divBdr>
                <w:top w:val="none" w:sz="0" w:space="0" w:color="auto"/>
                <w:left w:val="none" w:sz="0" w:space="0" w:color="auto"/>
                <w:bottom w:val="none" w:sz="0" w:space="0" w:color="auto"/>
                <w:right w:val="none" w:sz="0" w:space="0" w:color="auto"/>
              </w:divBdr>
              <w:divsChild>
                <w:div w:id="269242771">
                  <w:marLeft w:val="0"/>
                  <w:marRight w:val="0"/>
                  <w:marTop w:val="0"/>
                  <w:marBottom w:val="0"/>
                  <w:divBdr>
                    <w:top w:val="none" w:sz="0" w:space="0" w:color="auto"/>
                    <w:left w:val="none" w:sz="0" w:space="0" w:color="auto"/>
                    <w:bottom w:val="none" w:sz="0" w:space="0" w:color="auto"/>
                    <w:right w:val="none" w:sz="0" w:space="0" w:color="auto"/>
                  </w:divBdr>
                  <w:divsChild>
                    <w:div w:id="1581598095">
                      <w:marLeft w:val="0"/>
                      <w:marRight w:val="0"/>
                      <w:marTop w:val="0"/>
                      <w:marBottom w:val="0"/>
                      <w:divBdr>
                        <w:top w:val="none" w:sz="0" w:space="0" w:color="auto"/>
                        <w:left w:val="none" w:sz="0" w:space="0" w:color="auto"/>
                        <w:bottom w:val="none" w:sz="0" w:space="0" w:color="auto"/>
                        <w:right w:val="none" w:sz="0" w:space="0" w:color="auto"/>
                      </w:divBdr>
                      <w:divsChild>
                        <w:div w:id="2096434369">
                          <w:marLeft w:val="0"/>
                          <w:marRight w:val="0"/>
                          <w:marTop w:val="0"/>
                          <w:marBottom w:val="0"/>
                          <w:divBdr>
                            <w:top w:val="none" w:sz="0" w:space="0" w:color="auto"/>
                            <w:left w:val="none" w:sz="0" w:space="0" w:color="auto"/>
                            <w:bottom w:val="none" w:sz="0" w:space="0" w:color="auto"/>
                            <w:right w:val="none" w:sz="0" w:space="0" w:color="auto"/>
                          </w:divBdr>
                          <w:divsChild>
                            <w:div w:id="1094865075">
                              <w:marLeft w:val="0"/>
                              <w:marRight w:val="0"/>
                              <w:marTop w:val="0"/>
                              <w:marBottom w:val="0"/>
                              <w:divBdr>
                                <w:top w:val="none" w:sz="0" w:space="0" w:color="auto"/>
                                <w:left w:val="none" w:sz="0" w:space="0" w:color="auto"/>
                                <w:bottom w:val="none" w:sz="0" w:space="0" w:color="auto"/>
                                <w:right w:val="none" w:sz="0" w:space="0" w:color="auto"/>
                              </w:divBdr>
                              <w:divsChild>
                                <w:div w:id="1480805123">
                                  <w:marLeft w:val="0"/>
                                  <w:marRight w:val="0"/>
                                  <w:marTop w:val="0"/>
                                  <w:marBottom w:val="0"/>
                                  <w:divBdr>
                                    <w:top w:val="none" w:sz="0" w:space="0" w:color="auto"/>
                                    <w:left w:val="none" w:sz="0" w:space="0" w:color="auto"/>
                                    <w:bottom w:val="none" w:sz="0" w:space="0" w:color="auto"/>
                                    <w:right w:val="none" w:sz="0" w:space="0" w:color="auto"/>
                                  </w:divBdr>
                                  <w:divsChild>
                                    <w:div w:id="251087679">
                                      <w:marLeft w:val="0"/>
                                      <w:marRight w:val="0"/>
                                      <w:marTop w:val="0"/>
                                      <w:marBottom w:val="0"/>
                                      <w:divBdr>
                                        <w:top w:val="none" w:sz="0" w:space="0" w:color="auto"/>
                                        <w:left w:val="none" w:sz="0" w:space="0" w:color="auto"/>
                                        <w:bottom w:val="none" w:sz="0" w:space="0" w:color="auto"/>
                                        <w:right w:val="none" w:sz="0" w:space="0" w:color="auto"/>
                                      </w:divBdr>
                                      <w:divsChild>
                                        <w:div w:id="1263950374">
                                          <w:marLeft w:val="0"/>
                                          <w:marRight w:val="0"/>
                                          <w:marTop w:val="0"/>
                                          <w:marBottom w:val="0"/>
                                          <w:divBdr>
                                            <w:top w:val="none" w:sz="0" w:space="0" w:color="auto"/>
                                            <w:left w:val="none" w:sz="0" w:space="0" w:color="auto"/>
                                            <w:bottom w:val="none" w:sz="0" w:space="0" w:color="auto"/>
                                            <w:right w:val="none" w:sz="0" w:space="0" w:color="auto"/>
                                          </w:divBdr>
                                          <w:divsChild>
                                            <w:div w:id="1825848970">
                                              <w:marLeft w:val="0"/>
                                              <w:marRight w:val="0"/>
                                              <w:marTop w:val="0"/>
                                              <w:marBottom w:val="0"/>
                                              <w:divBdr>
                                                <w:top w:val="none" w:sz="0" w:space="0" w:color="auto"/>
                                                <w:left w:val="none" w:sz="0" w:space="0" w:color="auto"/>
                                                <w:bottom w:val="none" w:sz="0" w:space="0" w:color="auto"/>
                                                <w:right w:val="none" w:sz="0" w:space="0" w:color="auto"/>
                                              </w:divBdr>
                                              <w:divsChild>
                                                <w:div w:id="1007755829">
                                                  <w:marLeft w:val="0"/>
                                                  <w:marRight w:val="0"/>
                                                  <w:marTop w:val="0"/>
                                                  <w:marBottom w:val="0"/>
                                                  <w:divBdr>
                                                    <w:top w:val="none" w:sz="0" w:space="0" w:color="auto"/>
                                                    <w:left w:val="none" w:sz="0" w:space="0" w:color="auto"/>
                                                    <w:bottom w:val="none" w:sz="0" w:space="0" w:color="auto"/>
                                                    <w:right w:val="none" w:sz="0" w:space="0" w:color="auto"/>
                                                  </w:divBdr>
                                                  <w:divsChild>
                                                    <w:div w:id="2128159518">
                                                      <w:marLeft w:val="0"/>
                                                      <w:marRight w:val="0"/>
                                                      <w:marTop w:val="0"/>
                                                      <w:marBottom w:val="0"/>
                                                      <w:divBdr>
                                                        <w:top w:val="none" w:sz="0" w:space="0" w:color="auto"/>
                                                        <w:left w:val="none" w:sz="0" w:space="0" w:color="auto"/>
                                                        <w:bottom w:val="none" w:sz="0" w:space="0" w:color="auto"/>
                                                        <w:right w:val="none" w:sz="0" w:space="0" w:color="auto"/>
                                                      </w:divBdr>
                                                      <w:divsChild>
                                                        <w:div w:id="139782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845823431">
      <w:bodyDiv w:val="1"/>
      <w:marLeft w:val="0"/>
      <w:marRight w:val="0"/>
      <w:marTop w:val="0"/>
      <w:marBottom w:val="0"/>
      <w:divBdr>
        <w:top w:val="none" w:sz="0" w:space="0" w:color="auto"/>
        <w:left w:val="none" w:sz="0" w:space="0" w:color="auto"/>
        <w:bottom w:val="none" w:sz="0" w:space="0" w:color="auto"/>
        <w:right w:val="none" w:sz="0" w:space="0" w:color="auto"/>
      </w:divBdr>
      <w:divsChild>
        <w:div w:id="1857034885">
          <w:marLeft w:val="0"/>
          <w:marRight w:val="0"/>
          <w:marTop w:val="0"/>
          <w:marBottom w:val="0"/>
          <w:divBdr>
            <w:top w:val="none" w:sz="0" w:space="0" w:color="auto"/>
            <w:left w:val="none" w:sz="0" w:space="0" w:color="auto"/>
            <w:bottom w:val="none" w:sz="0" w:space="0" w:color="auto"/>
            <w:right w:val="none" w:sz="0" w:space="0" w:color="auto"/>
          </w:divBdr>
          <w:divsChild>
            <w:div w:id="494763363">
              <w:marLeft w:val="0"/>
              <w:marRight w:val="0"/>
              <w:marTop w:val="0"/>
              <w:marBottom w:val="0"/>
              <w:divBdr>
                <w:top w:val="none" w:sz="0" w:space="0" w:color="auto"/>
                <w:left w:val="none" w:sz="0" w:space="0" w:color="auto"/>
                <w:bottom w:val="none" w:sz="0" w:space="0" w:color="auto"/>
                <w:right w:val="none" w:sz="0" w:space="0" w:color="auto"/>
              </w:divBdr>
              <w:divsChild>
                <w:div w:id="1782188060">
                  <w:marLeft w:val="0"/>
                  <w:marRight w:val="0"/>
                  <w:marTop w:val="0"/>
                  <w:marBottom w:val="0"/>
                  <w:divBdr>
                    <w:top w:val="none" w:sz="0" w:space="0" w:color="auto"/>
                    <w:left w:val="none" w:sz="0" w:space="0" w:color="auto"/>
                    <w:bottom w:val="none" w:sz="0" w:space="0" w:color="auto"/>
                    <w:right w:val="none" w:sz="0" w:space="0" w:color="auto"/>
                  </w:divBdr>
                  <w:divsChild>
                    <w:div w:id="1659964379">
                      <w:marLeft w:val="3000"/>
                      <w:marRight w:val="0"/>
                      <w:marTop w:val="0"/>
                      <w:marBottom w:val="75"/>
                      <w:divBdr>
                        <w:top w:val="none" w:sz="0" w:space="0" w:color="auto"/>
                        <w:left w:val="none" w:sz="0" w:space="0" w:color="auto"/>
                        <w:bottom w:val="none" w:sz="0" w:space="0" w:color="auto"/>
                        <w:right w:val="none" w:sz="0" w:space="0" w:color="auto"/>
                      </w:divBdr>
                      <w:divsChild>
                        <w:div w:id="61220112">
                          <w:marLeft w:val="0"/>
                          <w:marRight w:val="0"/>
                          <w:marTop w:val="0"/>
                          <w:marBottom w:val="0"/>
                          <w:divBdr>
                            <w:top w:val="none" w:sz="0" w:space="0" w:color="auto"/>
                            <w:left w:val="none" w:sz="0" w:space="0" w:color="auto"/>
                            <w:bottom w:val="none" w:sz="0" w:space="0" w:color="auto"/>
                            <w:right w:val="none" w:sz="0" w:space="0" w:color="auto"/>
                          </w:divBdr>
                          <w:divsChild>
                            <w:div w:id="1779523531">
                              <w:marLeft w:val="0"/>
                              <w:marRight w:val="0"/>
                              <w:marTop w:val="0"/>
                              <w:marBottom w:val="405"/>
                              <w:divBdr>
                                <w:top w:val="none" w:sz="0" w:space="0" w:color="auto"/>
                                <w:left w:val="none" w:sz="0" w:space="0" w:color="auto"/>
                                <w:bottom w:val="none" w:sz="0" w:space="0" w:color="auto"/>
                                <w:right w:val="none" w:sz="0" w:space="0" w:color="auto"/>
                              </w:divBdr>
                              <w:divsChild>
                                <w:div w:id="1529416881">
                                  <w:marLeft w:val="0"/>
                                  <w:marRight w:val="0"/>
                                  <w:marTop w:val="0"/>
                                  <w:marBottom w:val="0"/>
                                  <w:divBdr>
                                    <w:top w:val="none" w:sz="0" w:space="0" w:color="auto"/>
                                    <w:left w:val="none" w:sz="0" w:space="0" w:color="auto"/>
                                    <w:bottom w:val="none" w:sz="0" w:space="0" w:color="auto"/>
                                    <w:right w:val="none" w:sz="0" w:space="0" w:color="auto"/>
                                  </w:divBdr>
                                </w:div>
                              </w:divsChild>
                            </w:div>
                            <w:div w:id="2051373655">
                              <w:marLeft w:val="0"/>
                              <w:marRight w:val="0"/>
                              <w:marTop w:val="0"/>
                              <w:marBottom w:val="0"/>
                              <w:divBdr>
                                <w:top w:val="none" w:sz="0" w:space="0" w:color="auto"/>
                                <w:left w:val="none" w:sz="0" w:space="0" w:color="auto"/>
                                <w:bottom w:val="none" w:sz="0" w:space="0" w:color="auto"/>
                                <w:right w:val="none" w:sz="0" w:space="0" w:color="auto"/>
                              </w:divBdr>
                              <w:divsChild>
                                <w:div w:id="1287854522">
                                  <w:marLeft w:val="0"/>
                                  <w:marRight w:val="0"/>
                                  <w:marTop w:val="0"/>
                                  <w:marBottom w:val="0"/>
                                  <w:divBdr>
                                    <w:top w:val="none" w:sz="0" w:space="0" w:color="auto"/>
                                    <w:left w:val="none" w:sz="0" w:space="0" w:color="auto"/>
                                    <w:bottom w:val="none" w:sz="0" w:space="0" w:color="auto"/>
                                    <w:right w:val="none" w:sz="0" w:space="0" w:color="auto"/>
                                  </w:divBdr>
                                  <w:divsChild>
                                    <w:div w:id="17506572">
                                      <w:marLeft w:val="0"/>
                                      <w:marRight w:val="0"/>
                                      <w:marTop w:val="0"/>
                                      <w:marBottom w:val="0"/>
                                      <w:divBdr>
                                        <w:top w:val="none" w:sz="0" w:space="0" w:color="auto"/>
                                        <w:left w:val="none" w:sz="0" w:space="0" w:color="auto"/>
                                        <w:bottom w:val="none" w:sz="0" w:space="0" w:color="auto"/>
                                        <w:right w:val="none" w:sz="0" w:space="0" w:color="auto"/>
                                      </w:divBdr>
                                    </w:div>
                                    <w:div w:id="14003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1383239">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 w:id="2126272660">
      <w:bodyDiv w:val="1"/>
      <w:marLeft w:val="390"/>
      <w:marRight w:val="390"/>
      <w:marTop w:val="0"/>
      <w:marBottom w:val="0"/>
      <w:divBdr>
        <w:top w:val="none" w:sz="0" w:space="0" w:color="auto"/>
        <w:left w:val="none" w:sz="0" w:space="0" w:color="auto"/>
        <w:bottom w:val="none" w:sz="0" w:space="0" w:color="auto"/>
        <w:right w:val="none" w:sz="0" w:space="0" w:color="auto"/>
      </w:divBdr>
      <w:divsChild>
        <w:div w:id="436364342">
          <w:marLeft w:val="0"/>
          <w:marRight w:val="0"/>
          <w:marTop w:val="0"/>
          <w:marBottom w:val="0"/>
          <w:divBdr>
            <w:top w:val="none" w:sz="0" w:space="0" w:color="auto"/>
            <w:left w:val="none" w:sz="0" w:space="0" w:color="auto"/>
            <w:bottom w:val="none" w:sz="0" w:space="0" w:color="auto"/>
            <w:right w:val="none" w:sz="0" w:space="0" w:color="auto"/>
          </w:divBdr>
          <w:divsChild>
            <w:div w:id="1233738475">
              <w:marLeft w:val="0"/>
              <w:marRight w:val="0"/>
              <w:marTop w:val="0"/>
              <w:marBottom w:val="0"/>
              <w:divBdr>
                <w:top w:val="none" w:sz="0" w:space="0" w:color="auto"/>
                <w:left w:val="none" w:sz="0" w:space="0" w:color="auto"/>
                <w:bottom w:val="none" w:sz="0" w:space="0" w:color="auto"/>
                <w:right w:val="none" w:sz="0" w:space="0" w:color="auto"/>
              </w:divBdr>
              <w:divsChild>
                <w:div w:id="1457677761">
                  <w:marLeft w:val="-150"/>
                  <w:marRight w:val="-150"/>
                  <w:marTop w:val="0"/>
                  <w:marBottom w:val="0"/>
                  <w:divBdr>
                    <w:top w:val="none" w:sz="0" w:space="0" w:color="auto"/>
                    <w:left w:val="none" w:sz="0" w:space="0" w:color="auto"/>
                    <w:bottom w:val="none" w:sz="0" w:space="0" w:color="auto"/>
                    <w:right w:val="none" w:sz="0" w:space="0" w:color="auto"/>
                  </w:divBdr>
                  <w:divsChild>
                    <w:div w:id="2065980578">
                      <w:marLeft w:val="0"/>
                      <w:marRight w:val="0"/>
                      <w:marTop w:val="0"/>
                      <w:marBottom w:val="0"/>
                      <w:divBdr>
                        <w:top w:val="none" w:sz="0" w:space="0" w:color="auto"/>
                        <w:left w:val="none" w:sz="0" w:space="0" w:color="auto"/>
                        <w:bottom w:val="none" w:sz="0" w:space="0" w:color="auto"/>
                        <w:right w:val="none" w:sz="0" w:space="0" w:color="auto"/>
                      </w:divBdr>
                      <w:divsChild>
                        <w:div w:id="19383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hyperlink" Target="https://www.foodstandards.gov.au/science/monitoringnutrients/ausnut/ausnutdatafiles/Pages/fooddetails.aspx"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foodstandards.gov.au/code/changes/Pages/Documents-for-public-comment.aspx" TargetMode="External"/><Relationship Id="rId25" Type="http://schemas.openxmlformats.org/officeDocument/2006/relationships/hyperlink" Target="https://www.portal.euromonitor.com/portal/magazine/homemain" TargetMode="External"/><Relationship Id="rId2" Type="http://schemas.openxmlformats.org/officeDocument/2006/relationships/customXml" Target="../customXml/item2.xml"/><Relationship Id="rId16" Type="http://schemas.openxmlformats.org/officeDocument/2006/relationships/hyperlink" Target="https://www.foodstandards.gov.au/code/changes/submission/Pages/default.aspx" TargetMode="External"/><Relationship Id="rId20" Type="http://schemas.openxmlformats.org/officeDocument/2006/relationships/footer" Target="footer1.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abs.gov.au/statistics/health/health-conditions-and-risks/apparent-consumption-selected-foodstuffs-australia/latest-release" TargetMode="External"/><Relationship Id="rId28" Type="http://schemas.openxmlformats.org/officeDocument/2006/relationships/hyperlink" Target="https://www.health.govt.nz/publication/focus-nutrition-key-findings-2008-09-nz-adult-nutrition-survey" TargetMode="External"/><Relationship Id="rId15" Type="http://schemas.openxmlformats.org/officeDocument/2006/relationships/hyperlink" Target="https://www.foodstandards.gov.au/code/changes/submission/Pages/default.aspx" TargetMode="External"/><Relationship Id="rId23" Type="http://schemas.openxmlformats.org/officeDocument/2006/relationships/hyperlink" Target="http://www.abs.gov.au/AUSSTATS/abs@.nsf/Latestproducts/4324.0.55.002Main%20Features652011-12?opendocument&amp;tabname=Summary&amp;prodno=4324.0.55.002&amp;issue=2011-12&amp;num=&amp;view"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31" Type="http://schemas.openxmlformats.org/officeDocument/2006/relationships/theme" Target="theme/theme1.xml"/><Relationship Id="rId30" Type="http://schemas.openxmlformats.org/officeDocument/2006/relationships/fontTable" Target="fontTable.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hyperlink" Target="https://www.iriworldwide.com/en-u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HTML/?uri=CELEX:32012R0432&amp;from=EN" TargetMode="External"/><Relationship Id="rId3" Type="http://schemas.openxmlformats.org/officeDocument/2006/relationships/hyperlink" Target="http://onlinelibrary.wiley.com/doi/10.2903/sp.efsa.2015.EN-871/epdf" TargetMode="External"/><Relationship Id="rId7" Type="http://schemas.openxmlformats.org/officeDocument/2006/relationships/hyperlink" Target="https://efsa.onlinelibrary.wiley.com/doi/pdf/10.2903/j.efsa.2011.2211" TargetMode="External"/><Relationship Id="rId2" Type="http://schemas.openxmlformats.org/officeDocument/2006/relationships/hyperlink" Target="https://www.foodstandards.gov.au/code/proposals/Pages/P1010.aspx" TargetMode="External"/><Relationship Id="rId1" Type="http://schemas.openxmlformats.org/officeDocument/2006/relationships/hyperlink" Target="https://foodregulation.gov.au/internet/fr/publishing.nsf/Content/sport-sup-action-plan" TargetMode="External"/><Relationship Id="rId6" Type="http://schemas.openxmlformats.org/officeDocument/2006/relationships/hyperlink" Target="https://www.foodstandards.gov.au/industry/labelling/Pages/Outcomes-from-consideration-of-European-Union-authorised-health-claims.aspx" TargetMode="External"/><Relationship Id="rId5" Type="http://schemas.openxmlformats.org/officeDocument/2006/relationships/hyperlink" Target="https://foodregulation.gov.au/internet/fr/publishing.nsf/Content/publication-Policy-Guideline-on-Nutrition-Health-and-Related-Claims" TargetMode="External"/><Relationship Id="rId4" Type="http://schemas.openxmlformats.org/officeDocument/2006/relationships/hyperlink" Target="https://www.foodstandards.gov.au/publications/Pages/Consumer-research-investigating-the-use-of-sports-foods.aspx" TargetMode="External"/><Relationship Id="rId9" Type="http://schemas.openxmlformats.org/officeDocument/2006/relationships/hyperlink" Target="http://www.puntofocal.gov.ar/notific_otros_miembros/eu723_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7</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PersistId xmlns="ff5de93e-c5e8-4efc-a1bd-21450292fcfe" xsi:nil="true"/>
    <_dlc_DocId xmlns="ff5de93e-c5e8-4efc-a1bd-21450292fcfe">WYJEUTFRV6AA-1733-1533</_dlc_DocId>
    <_dlc_DocIdUrl xmlns="ff5de93e-c5e8-4efc-a1bd-21450292fcfe">
      <Url>http://fsanzapps/proposals/P1030/_layouts/15/DocIdRedir.aspx?ID=WYJEUTFRV6AA-1733-1533</Url>
      <Description>WYJEUTFRV6AA-1733-1533</Description>
    </_dlc_DocIdUrl>
  </documentManagement>
</p:properties>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Props1.xml><?xml version="1.0" encoding="utf-8"?>
<ds:datastoreItem xmlns:ds="http://schemas.openxmlformats.org/officeDocument/2006/customXml" ds:itemID="{C1359877-7052-4D31-ACFE-41889A55C623}"/>
</file>

<file path=customXml/itemProps2.xml><?xml version="1.0" encoding="utf-8"?>
<ds:datastoreItem xmlns:ds="http://schemas.openxmlformats.org/officeDocument/2006/customXml" ds:itemID="{F709E1B6-6A84-441A-B0C4-E605C394FF2F}"/>
</file>

<file path=customXml/itemProps3.xml><?xml version="1.0" encoding="utf-8"?>
<ds:datastoreItem xmlns:ds="http://schemas.openxmlformats.org/officeDocument/2006/customXml" ds:itemID="{2004AE6E-4B4C-497C-87D6-F64B928CC3A6}"/>
</file>

<file path=customXml/itemProps4.xml><?xml version="1.0" encoding="utf-8"?>
<ds:datastoreItem xmlns:ds="http://schemas.openxmlformats.org/officeDocument/2006/customXml" ds:itemID="{C1359877-7052-4D31-ACFE-41889A55C623}">
  <ds:schemaRefs>
    <ds:schemaRef ds:uri="ec50576e-4a27-4780-a1e1-e59563bc70b8"/>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ff5de93e-c5e8-4efc-a1bd-21450292fcfe"/>
    <ds:schemaRef ds:uri="http://schemas.microsoft.com/office/2006/metadata/properties"/>
    <ds:schemaRef ds:uri="http://www.w3.org/XML/1998/namespace"/>
    <ds:schemaRef ds:uri="http://purl.org/dc/terms/"/>
    <ds:schemaRef ds:uri="http://purl.org/dc/elements/1.1/"/>
  </ds:schemaRefs>
</ds:datastoreItem>
</file>

<file path=customXml/itemProps5.xml><?xml version="1.0" encoding="utf-8"?>
<ds:datastoreItem xmlns:ds="http://schemas.openxmlformats.org/officeDocument/2006/customXml" ds:itemID="{21F32BA1-AA4C-472E-8639-7ECBB283D96F}">
  <ds:schemaRefs>
    <ds:schemaRef ds:uri="Microsoft.SharePoint.Taxonomy.ContentTypeSync"/>
  </ds:schemaRefs>
</ds:datastoreItem>
</file>

<file path=customXml/itemProps6.xml><?xml version="1.0" encoding="utf-8"?>
<ds:datastoreItem xmlns:ds="http://schemas.openxmlformats.org/officeDocument/2006/customXml" ds:itemID="{91CEF627-EDA1-46FC-A0B9-8B1043D3DB2B}"/>
</file>

<file path=customXml/itemProps7.xml><?xml version="1.0" encoding="utf-8"?>
<ds:datastoreItem xmlns:ds="http://schemas.openxmlformats.org/officeDocument/2006/customXml" ds:itemID="{A3C11464-2E36-464E-8B03-7356DB3CA384}"/>
</file>

<file path=docProps/app.xml><?xml version="1.0" encoding="utf-8"?>
<Properties xmlns="http://schemas.openxmlformats.org/officeDocument/2006/extended-properties" xmlns:vt="http://schemas.openxmlformats.org/officeDocument/2006/docPropsVTypes">
  <Template>Normal</Template>
  <TotalTime>1</TotalTime>
  <Pages>68</Pages>
  <Words>25792</Words>
  <Characters>147016</Characters>
  <Application>Microsoft Office Word</Application>
  <DocSecurity>0</DocSecurity>
  <Lines>1225</Lines>
  <Paragraphs>344</Paragraphs>
  <ScaleCrop>false</ScaleCrop>
  <HeadingPairs>
    <vt:vector size="2" baseType="variant">
      <vt:variant>
        <vt:lpstr>Title</vt:lpstr>
      </vt:variant>
      <vt:variant>
        <vt:i4>1</vt:i4>
      </vt:variant>
    </vt:vector>
  </HeadingPairs>
  <TitlesOfParts>
    <vt:vector size="1" baseType="lpstr">
      <vt:lpstr>PLEASE REFER TO ANZFA’S GUIDE TO APPLICATIONS AND PROPOSALS FOR A MORE DETAILED EXPLANATION OF THE PROCESS ON HOW TO UNDERTAKE</vt:lpstr>
    </vt:vector>
  </TitlesOfParts>
  <Company>ANZFA</Company>
  <LinksUpToDate>false</LinksUpToDate>
  <CharactersWithSpaces>172464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REFER TO ANZFA’S GUIDE TO APPLICATIONS AND PROPOSALS FOR A MORE DETAILED EXPLANATION OF THE PROCESS ON HOW TO UNDERTAKE</dc:title>
  <dc:subject/>
  <dc:creator>crawlk</dc:creator>
  <cp:keywords/>
  <dc:description/>
  <cp:lastModifiedBy>Tailee Vecchi</cp:lastModifiedBy>
  <cp:revision>2</cp:revision>
  <cp:lastPrinted>2021-05-12T04:52:00Z</cp:lastPrinted>
  <dcterms:created xsi:type="dcterms:W3CDTF">2021-05-26T05:33:00Z</dcterms:created>
  <dcterms:modified xsi:type="dcterms:W3CDTF">2021-05-26T05:33:00Z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y fmtid="{D5CDD505-2E9C-101B-9397-08002B2CF9AE}" pid="3" name="DisposalClass">
    <vt:lpwstr/>
  </property>
  <property fmtid="{D5CDD505-2E9C-101B-9397-08002B2CF9AE}" pid="4" name="BCS_">
    <vt:lpwstr>7;#Evaluation|43bd8487-b9f6-4055-946c-a118d364275d</vt:lpwstr>
  </property>
  <property fmtid="{D5CDD505-2E9C-101B-9397-08002B2CF9AE}" pid="5" name="_dlc_DocIdItemGuid">
    <vt:lpwstr>06dce244-0a84-4774-82cb-3ebafb94f5d9</vt:lpwstr>
  </property>
  <property fmtid="{D5CDD505-2E9C-101B-9397-08002B2CF9AE}" pid="6" name="SPPCopyMoveEvent">
    <vt:lpwstr>1</vt:lpwstr>
  </property>
  <property fmtid="{D5CDD505-2E9C-101B-9397-08002B2CF9AE}" pid="7" name="RecordPoint_ActiveItemUniqueId">
    <vt:lpwstr>{06dce244-0a84-4774-82cb-3ebafb94f5d9}</vt:lpwstr>
  </property>
  <property fmtid="{D5CDD505-2E9C-101B-9397-08002B2CF9AE}" pid="8" name="RecordPoint_WorkflowType">
    <vt:lpwstr>ActiveSubmitStub</vt:lpwstr>
  </property>
  <property fmtid="{D5CDD505-2E9C-101B-9397-08002B2CF9AE}" pid="9" name="RecordPoint_ActiveItemSiteId">
    <vt:lpwstr>{dd95a578-5c6a-4f11-92f7-f95884d628d6}</vt:lpwstr>
  </property>
  <property fmtid="{D5CDD505-2E9C-101B-9397-08002B2CF9AE}" pid="10" name="RecordPoint_ActiveItemListId">
    <vt:lpwstr>{dea91561-da69-4c5a-b0d0-0e7c69ec9d09}</vt:lpwstr>
  </property>
  <property fmtid="{D5CDD505-2E9C-101B-9397-08002B2CF9AE}" pid="11" name="RecordPoint_ActiveItemWebId">
    <vt:lpwstr>{aaec9055-5f08-49f2-8ac3-bc371782bfc0}</vt:lpwstr>
  </property>
  <property fmtid="{D5CDD505-2E9C-101B-9397-08002B2CF9AE}" pid="12" name="RecordPoint_RecordNumberSubmitted">
    <vt:lpwstr>R0000142327</vt:lpwstr>
  </property>
  <property fmtid="{D5CDD505-2E9C-101B-9397-08002B2CF9AE}" pid="13" name="RecordPoint_SubmissionCompleted">
    <vt:lpwstr>2021-04-12T16:45:26.1364337+10:00</vt:lpwstr>
  </property>
  <property fmtid="{D5CDD505-2E9C-101B-9397-08002B2CF9AE}" pid="14" name="docIndexRef">
    <vt:lpwstr>4b094e7a-e041-4caa-ab96-3a7e194f2858</vt:lpwstr>
  </property>
  <property fmtid="{D5CDD505-2E9C-101B-9397-08002B2CF9AE}" pid="15" name="bjSaver">
    <vt:lpwstr>EX9hwaRDdfAA4kLqU8pK4+ysZlWDZsZ6</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20" name="bjDocumentLabelXML-0">
    <vt:lpwstr>ames.com/2008/01/sie/internal/label"&gt;&lt;element uid="66ddac19-06c4-4e63-b4dd-d8240d87a23f" value="" /&gt;&lt;/sisl&gt;</vt:lpwstr>
  </property>
  <property fmtid="{D5CDD505-2E9C-101B-9397-08002B2CF9AE}" pid="21" name="bjDocumentSecurityLabel">
    <vt:lpwstr>NO SECURITY CLASSIFICATION REQUIRED</vt:lpwstr>
  </property>
</Properties>
</file>